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7E" w:rsidRPr="00512F8F" w:rsidRDefault="00EE377E" w:rsidP="003B62A1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512F8F">
        <w:rPr>
          <w:rFonts w:ascii="Times New Roman" w:hAnsi="Times New Roman"/>
          <w:b/>
          <w:bCs/>
          <w:kern w:val="36"/>
          <w:sz w:val="24"/>
          <w:szCs w:val="24"/>
        </w:rPr>
        <w:t>COSME PROGRAMI</w:t>
      </w:r>
    </w:p>
    <w:p w:rsidR="00EE377E" w:rsidRPr="00512F8F" w:rsidRDefault="00EE377E" w:rsidP="003B62A1">
      <w:pPr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512F8F">
        <w:rPr>
          <w:rFonts w:ascii="Times New Roman" w:hAnsi="Times New Roman"/>
          <w:b/>
          <w:bCs/>
          <w:kern w:val="36"/>
          <w:sz w:val="24"/>
          <w:szCs w:val="24"/>
        </w:rPr>
        <w:t>“COS-</w:t>
      </w:r>
      <w:r w:rsidR="00713F18">
        <w:rPr>
          <w:rFonts w:ascii="Times New Roman" w:hAnsi="Times New Roman"/>
          <w:b/>
          <w:bCs/>
          <w:kern w:val="36"/>
          <w:sz w:val="24"/>
          <w:szCs w:val="24"/>
        </w:rPr>
        <w:t>EarlyWarningEU</w:t>
      </w:r>
      <w:r w:rsidRPr="00512F8F">
        <w:rPr>
          <w:rFonts w:ascii="Times New Roman" w:hAnsi="Times New Roman"/>
          <w:b/>
          <w:bCs/>
          <w:kern w:val="36"/>
          <w:sz w:val="24"/>
          <w:szCs w:val="24"/>
        </w:rPr>
        <w:t xml:space="preserve">-2016-4-01– </w:t>
      </w:r>
      <w:r w:rsidR="00713F18">
        <w:rPr>
          <w:rFonts w:ascii="Times New Roman" w:hAnsi="Times New Roman"/>
          <w:b/>
          <w:bCs/>
          <w:kern w:val="36"/>
          <w:sz w:val="24"/>
          <w:szCs w:val="24"/>
        </w:rPr>
        <w:t>İşletmelere ve Yeniden Başlayanlara Destek ve Erken Uyarı A</w:t>
      </w:r>
      <w:r w:rsidR="00713F18" w:rsidRPr="00713F18">
        <w:rPr>
          <w:rFonts w:ascii="Times New Roman" w:hAnsi="Times New Roman"/>
          <w:b/>
          <w:bCs/>
          <w:kern w:val="36"/>
          <w:sz w:val="24"/>
          <w:szCs w:val="24"/>
        </w:rPr>
        <w:t>ğı</w:t>
      </w:r>
      <w:r w:rsidRPr="00512F8F">
        <w:rPr>
          <w:rFonts w:ascii="Times New Roman" w:hAnsi="Times New Roman"/>
          <w:b/>
          <w:bCs/>
          <w:kern w:val="36"/>
          <w:sz w:val="24"/>
          <w:szCs w:val="24"/>
        </w:rPr>
        <w:t>” Çağrı Teklifi</w:t>
      </w:r>
    </w:p>
    <w:p w:rsidR="007076CC" w:rsidRPr="00512F8F" w:rsidRDefault="007076CC" w:rsidP="00157CE1">
      <w:pPr>
        <w:jc w:val="both"/>
        <w:rPr>
          <w:rFonts w:ascii="Times New Roman" w:hAnsi="Times New Roman"/>
          <w:sz w:val="24"/>
          <w:szCs w:val="24"/>
        </w:rPr>
      </w:pPr>
    </w:p>
    <w:p w:rsidR="001C731E" w:rsidRPr="00512F8F" w:rsidRDefault="001C731E" w:rsidP="00157CE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512F8F">
        <w:rPr>
          <w:rFonts w:ascii="Times New Roman" w:hAnsi="Times New Roman"/>
          <w:sz w:val="24"/>
          <w:szCs w:val="24"/>
          <w:lang w:eastAsia="tr-TR"/>
        </w:rPr>
        <w:t>Avrupa Birliği’nin, EU 2020 adını verdiği 2020 yılına yönelik stratejisini tanımlayan ana politikalardan biri “Küreselleşen Çağ için Sanayi Politikası” olarak belirlenmiştir. Bu süreçte, AB ülkelerinde ekonomik faaliyette bulunan işletmelerin % 90’ından fazlasını temsil eden KOBİ’lere özel önem atfedilmektedir. Bu kapsamda Birlik tarafından, 2014-2020 yıllarını kapsayan kısaca COSME (İşletmelerin ve KOBİ’lerin Rekabet Edebilirliği Programı) olarak adlandırılan yeni bir program ortaya konulmuştur.</w:t>
      </w:r>
      <w:r w:rsidRPr="00512F8F">
        <w:rPr>
          <w:rFonts w:ascii="Times New Roman" w:hAnsi="Times New Roman"/>
          <w:sz w:val="24"/>
          <w:szCs w:val="24"/>
        </w:rPr>
        <w:t xml:space="preserve"> KOSGEB, COSME Programının ulusal koordinatörüdür.</w:t>
      </w:r>
    </w:p>
    <w:p w:rsidR="001C731E" w:rsidRPr="00512F8F" w:rsidRDefault="001C731E" w:rsidP="00157CE1">
      <w:pPr>
        <w:jc w:val="both"/>
        <w:rPr>
          <w:rFonts w:ascii="Times New Roman" w:hAnsi="Times New Roman"/>
          <w:sz w:val="24"/>
          <w:szCs w:val="24"/>
        </w:rPr>
      </w:pPr>
    </w:p>
    <w:p w:rsidR="001C731E" w:rsidRPr="00512F8F" w:rsidRDefault="001C731E" w:rsidP="00157CE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512F8F">
        <w:rPr>
          <w:rFonts w:ascii="Times New Roman" w:hAnsi="Times New Roman"/>
          <w:sz w:val="24"/>
          <w:szCs w:val="24"/>
          <w:lang w:eastAsia="tr-TR"/>
        </w:rPr>
        <w:t>COSME programının bütçesi, ana eylemler olan;</w:t>
      </w:r>
    </w:p>
    <w:p w:rsidR="001C731E" w:rsidRPr="00512F8F" w:rsidRDefault="001C731E" w:rsidP="00157CE1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lang w:val="tr-TR" w:eastAsia="tr-TR"/>
        </w:rPr>
      </w:pPr>
      <w:r w:rsidRPr="00512F8F">
        <w:rPr>
          <w:lang w:val="tr-TR" w:eastAsia="tr-TR"/>
        </w:rPr>
        <w:t>KOBİ'lerin finansmana erişiminin arttırılması,</w:t>
      </w:r>
    </w:p>
    <w:p w:rsidR="001C731E" w:rsidRPr="00512F8F" w:rsidRDefault="00512F8F" w:rsidP="00157CE1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lang w:val="tr-TR" w:eastAsia="tr-TR"/>
        </w:rPr>
      </w:pPr>
      <w:r w:rsidRPr="00512F8F">
        <w:rPr>
          <w:lang w:val="tr-TR" w:eastAsia="tr-TR"/>
        </w:rPr>
        <w:t>Pazarlara</w:t>
      </w:r>
      <w:r w:rsidR="001C731E" w:rsidRPr="00512F8F">
        <w:rPr>
          <w:lang w:val="tr-TR" w:eastAsia="tr-TR"/>
        </w:rPr>
        <w:t xml:space="preserve"> erişiminin iyileştirilmesi,</w:t>
      </w:r>
    </w:p>
    <w:p w:rsidR="001C731E" w:rsidRPr="00512F8F" w:rsidRDefault="00512F8F" w:rsidP="00157CE1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lang w:val="tr-TR" w:eastAsia="tr-TR"/>
        </w:rPr>
      </w:pPr>
      <w:r w:rsidRPr="00512F8F">
        <w:rPr>
          <w:lang w:val="tr-TR" w:eastAsia="tr-TR"/>
        </w:rPr>
        <w:t>Çerçeve</w:t>
      </w:r>
      <w:r w:rsidR="001C731E" w:rsidRPr="00512F8F">
        <w:rPr>
          <w:lang w:val="tr-TR" w:eastAsia="tr-TR"/>
        </w:rPr>
        <w:t xml:space="preserve"> koşulların geliştirilmesi ve</w:t>
      </w:r>
    </w:p>
    <w:p w:rsidR="001C731E" w:rsidRPr="00512F8F" w:rsidRDefault="00512F8F" w:rsidP="00157CE1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lang w:val="tr-TR" w:eastAsia="tr-TR"/>
        </w:rPr>
      </w:pPr>
      <w:r w:rsidRPr="00512F8F">
        <w:rPr>
          <w:lang w:val="tr-TR" w:eastAsia="tr-TR"/>
        </w:rPr>
        <w:t>Girişimciliğin</w:t>
      </w:r>
      <w:r w:rsidR="001C731E" w:rsidRPr="00512F8F">
        <w:rPr>
          <w:lang w:val="tr-TR" w:eastAsia="tr-TR"/>
        </w:rPr>
        <w:t xml:space="preserve"> teşvik edilmesi</w:t>
      </w:r>
    </w:p>
    <w:p w:rsidR="001C731E" w:rsidRPr="00512F8F" w:rsidRDefault="001C731E" w:rsidP="00157CE1">
      <w:pPr>
        <w:pStyle w:val="ListParagraph"/>
        <w:tabs>
          <w:tab w:val="left" w:pos="0"/>
        </w:tabs>
        <w:spacing w:line="276" w:lineRule="auto"/>
        <w:jc w:val="both"/>
        <w:rPr>
          <w:lang w:val="tr-TR" w:eastAsia="tr-TR"/>
        </w:rPr>
      </w:pPr>
    </w:p>
    <w:p w:rsidR="001C731E" w:rsidRPr="00512F8F" w:rsidRDefault="00512F8F" w:rsidP="00157CE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512F8F">
        <w:rPr>
          <w:rFonts w:ascii="Times New Roman" w:hAnsi="Times New Roman"/>
          <w:sz w:val="24"/>
          <w:szCs w:val="24"/>
          <w:lang w:eastAsia="tr-TR"/>
        </w:rPr>
        <w:t>Amacıyla</w:t>
      </w:r>
      <w:r w:rsidR="001C731E" w:rsidRPr="00512F8F">
        <w:rPr>
          <w:rFonts w:ascii="Times New Roman" w:hAnsi="Times New Roman"/>
          <w:sz w:val="24"/>
          <w:szCs w:val="24"/>
          <w:lang w:eastAsia="tr-TR"/>
        </w:rPr>
        <w:t xml:space="preserve"> 7 yıl için 2,3 milyar AVRO olarak belirlenmiştir.</w:t>
      </w:r>
    </w:p>
    <w:p w:rsidR="001C731E" w:rsidRPr="00512F8F" w:rsidRDefault="001C731E" w:rsidP="00157CE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C731E" w:rsidRPr="00512F8F" w:rsidRDefault="001C731E" w:rsidP="00157CE1">
      <w:pPr>
        <w:pStyle w:val="AralkYok1"/>
        <w:spacing w:line="276" w:lineRule="auto"/>
        <w:jc w:val="both"/>
      </w:pPr>
      <w:r w:rsidRPr="00512F8F">
        <w:t xml:space="preserve">Başkanlığımız tarafından ulusal koordinasyonu yapılacak olan, AB tarafından </w:t>
      </w:r>
      <w:r w:rsidR="00B21A1B" w:rsidRPr="00512F8F">
        <w:t>2016-2021</w:t>
      </w:r>
      <w:r w:rsidRPr="00512F8F">
        <w:t xml:space="preserve"> yıllarını kapsayacak şekilde KOBİ’ler</w:t>
      </w:r>
      <w:r w:rsidR="00512F8F">
        <w:t>e</w:t>
      </w:r>
      <w:r w:rsidRPr="00512F8F">
        <w:t xml:space="preserve"> ve girişimcilere dönük uygulamaya konulan COSME Programı kapsamında yeni bir </w:t>
      </w:r>
      <w:r w:rsidRPr="00512F8F">
        <w:rPr>
          <w:b/>
        </w:rPr>
        <w:t>“</w:t>
      </w:r>
      <w:r w:rsidR="00713F18">
        <w:rPr>
          <w:b/>
        </w:rPr>
        <w:t>European Network for Early Warning and for Support the Enterprises and Second Starters</w:t>
      </w:r>
      <w:r w:rsidR="00512F8F">
        <w:rPr>
          <w:b/>
        </w:rPr>
        <w:t xml:space="preserve"> </w:t>
      </w:r>
      <w:r w:rsidRPr="00512F8F">
        <w:rPr>
          <w:b/>
        </w:rPr>
        <w:t xml:space="preserve">- </w:t>
      </w:r>
      <w:r w:rsidR="00713F18">
        <w:rPr>
          <w:b/>
          <w:bCs/>
          <w:kern w:val="36"/>
        </w:rPr>
        <w:t>İşletmelere ve Yeniden Başlayanlara Destek ve Erken Uyarı A</w:t>
      </w:r>
      <w:r w:rsidR="00713F18" w:rsidRPr="00713F18">
        <w:rPr>
          <w:b/>
          <w:bCs/>
          <w:kern w:val="36"/>
        </w:rPr>
        <w:t>ğı</w:t>
      </w:r>
      <w:r w:rsidRPr="00512F8F">
        <w:rPr>
          <w:b/>
        </w:rPr>
        <w:t xml:space="preserve">” </w:t>
      </w:r>
      <w:r w:rsidRPr="00512F8F">
        <w:t>proje teklif çağrısı yayımlanmıştır. Çağrıya dair bilgiler kısaca aşağıda sunulmaktadır.</w:t>
      </w:r>
    </w:p>
    <w:p w:rsidR="001C731E" w:rsidRPr="00512F8F" w:rsidRDefault="001C731E" w:rsidP="00157CE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64D5F" w:rsidRDefault="00664D5F" w:rsidP="00157CE1">
      <w:pPr>
        <w:spacing w:after="0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512F8F">
        <w:rPr>
          <w:rFonts w:ascii="Times New Roman" w:hAnsi="Times New Roman"/>
          <w:b/>
          <w:sz w:val="24"/>
          <w:szCs w:val="24"/>
          <w:lang w:eastAsia="tr-TR"/>
        </w:rPr>
        <w:t>Çağrının Kapsamı</w:t>
      </w:r>
      <w:r w:rsidR="008F4D86">
        <w:rPr>
          <w:rFonts w:ascii="Times New Roman" w:hAnsi="Times New Roman"/>
          <w:b/>
          <w:sz w:val="24"/>
          <w:szCs w:val="24"/>
          <w:lang w:eastAsia="tr-TR"/>
        </w:rPr>
        <w:t xml:space="preserve"> ve Amacı </w:t>
      </w:r>
    </w:p>
    <w:p w:rsidR="00B62F43" w:rsidRPr="00512F8F" w:rsidRDefault="00B62F43" w:rsidP="00157CE1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62F43" w:rsidRDefault="00B62F43" w:rsidP="00157CE1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8F4D86">
        <w:rPr>
          <w:rFonts w:ascii="Times New Roman" w:hAnsi="Times New Roman"/>
          <w:sz w:val="24"/>
          <w:szCs w:val="24"/>
          <w:lang w:eastAsia="tr-TR"/>
        </w:rPr>
        <w:t>COSME Programı kapsamındaki “</w:t>
      </w:r>
      <w:r w:rsidR="008F4D86" w:rsidRPr="008F4D86">
        <w:rPr>
          <w:rFonts w:ascii="Times New Roman" w:hAnsi="Times New Roman"/>
          <w:bCs/>
          <w:kern w:val="36"/>
          <w:sz w:val="24"/>
          <w:szCs w:val="24"/>
        </w:rPr>
        <w:t>COS-EarlyWarningEU-2016-4-01– İşletmelere ve Yeniden Başlayanlara Destek ve Erken Uyarı Ağı</w:t>
      </w:r>
      <w:r w:rsidRPr="008F4D86">
        <w:rPr>
          <w:rFonts w:ascii="Times New Roman" w:hAnsi="Times New Roman"/>
          <w:sz w:val="24"/>
          <w:szCs w:val="24"/>
          <w:lang w:eastAsia="tr-TR"/>
        </w:rPr>
        <w:t xml:space="preserve">” çağrısının amacı; </w:t>
      </w:r>
      <w:r w:rsidR="007B5F4D">
        <w:rPr>
          <w:rFonts w:ascii="Times New Roman" w:hAnsi="Times New Roman"/>
          <w:sz w:val="24"/>
          <w:szCs w:val="24"/>
          <w:lang w:eastAsia="tr-TR"/>
        </w:rPr>
        <w:t xml:space="preserve">zor durumdaki işletmeler ve işletme sahipleri ile iflas etmiş ancak yeniden başlamak için çalışan dürüst girişimciler için destek hizmetleri geliştirmek uygulamak ve kavramsallaştırmak amacıyla </w:t>
      </w:r>
      <w:r w:rsidR="007B5F4D" w:rsidRPr="007B5F4D">
        <w:rPr>
          <w:rFonts w:ascii="Times New Roman" w:hAnsi="Times New Roman"/>
          <w:b/>
          <w:sz w:val="24"/>
          <w:szCs w:val="24"/>
          <w:lang w:eastAsia="tr-TR"/>
        </w:rPr>
        <w:t>“İşletmelere ve Yeniden Başlayanlara Destek ve Erken Uyarı Ağı”</w:t>
      </w:r>
      <w:r w:rsidR="007B5F4D">
        <w:rPr>
          <w:rFonts w:ascii="Times New Roman" w:hAnsi="Times New Roman"/>
          <w:sz w:val="24"/>
          <w:szCs w:val="24"/>
          <w:lang w:eastAsia="tr-TR"/>
        </w:rPr>
        <w:t xml:space="preserve"> oluşturmak ve fonlamaktır. </w:t>
      </w:r>
    </w:p>
    <w:p w:rsidR="007B5F4D" w:rsidRDefault="007B5F4D" w:rsidP="00157CE1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B5F4D" w:rsidRDefault="007B5F4D" w:rsidP="00157CE1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Bu girişim</w:t>
      </w:r>
      <w:r w:rsidR="00787EE1">
        <w:rPr>
          <w:rFonts w:ascii="Times New Roman" w:hAnsi="Times New Roman"/>
          <w:sz w:val="24"/>
          <w:szCs w:val="24"/>
          <w:lang w:eastAsia="tr-TR"/>
        </w:rPr>
        <w:t>;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787EE1">
        <w:rPr>
          <w:rFonts w:ascii="Times New Roman" w:hAnsi="Times New Roman"/>
          <w:sz w:val="24"/>
          <w:szCs w:val="24"/>
          <w:lang w:eastAsia="tr-TR"/>
        </w:rPr>
        <w:t>bu tür sitemlerin bu</w:t>
      </w:r>
      <w:r w:rsidR="001256C5">
        <w:rPr>
          <w:rFonts w:ascii="Times New Roman" w:hAnsi="Times New Roman"/>
          <w:sz w:val="24"/>
          <w:szCs w:val="24"/>
          <w:lang w:eastAsia="tr-TR"/>
        </w:rPr>
        <w:t>lunmadığı ya da kısmen bulunan ü</w:t>
      </w:r>
      <w:r w:rsidR="00787EE1">
        <w:rPr>
          <w:rFonts w:ascii="Times New Roman" w:hAnsi="Times New Roman"/>
          <w:sz w:val="24"/>
          <w:szCs w:val="24"/>
          <w:lang w:eastAsia="tr-TR"/>
        </w:rPr>
        <w:t>lkelerdeki zor durumdaki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787EE1">
        <w:rPr>
          <w:rFonts w:ascii="Times New Roman" w:hAnsi="Times New Roman"/>
          <w:sz w:val="24"/>
          <w:szCs w:val="24"/>
          <w:lang w:eastAsia="tr-TR"/>
        </w:rPr>
        <w:t xml:space="preserve">işletmelere </w:t>
      </w:r>
      <w:r>
        <w:rPr>
          <w:rFonts w:ascii="Times New Roman" w:hAnsi="Times New Roman"/>
          <w:sz w:val="24"/>
          <w:szCs w:val="24"/>
          <w:lang w:eastAsia="tr-TR"/>
        </w:rPr>
        <w:t xml:space="preserve">erken uyarı, engelleme ve nitelikli </w:t>
      </w:r>
      <w:r w:rsidR="00787EE1">
        <w:rPr>
          <w:rFonts w:ascii="Times New Roman" w:hAnsi="Times New Roman"/>
          <w:sz w:val="24"/>
          <w:szCs w:val="24"/>
          <w:lang w:eastAsia="tr-TR"/>
        </w:rPr>
        <w:t>destek hizmetleri sağlayacak olan bir Avrupa Network</w:t>
      </w:r>
      <w:r w:rsidR="001256C5">
        <w:rPr>
          <w:rFonts w:ascii="Times New Roman" w:hAnsi="Times New Roman"/>
          <w:sz w:val="24"/>
          <w:szCs w:val="24"/>
          <w:lang w:eastAsia="tr-TR"/>
        </w:rPr>
        <w:t>’</w:t>
      </w:r>
      <w:r w:rsidR="00787EE1">
        <w:rPr>
          <w:rFonts w:ascii="Times New Roman" w:hAnsi="Times New Roman"/>
          <w:sz w:val="24"/>
          <w:szCs w:val="24"/>
          <w:lang w:eastAsia="tr-TR"/>
        </w:rPr>
        <w:t xml:space="preserve">ü kurulmasına odaklanmaktadır. 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787EE1" w:rsidRDefault="00787EE1" w:rsidP="00157CE1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87EE1" w:rsidRDefault="00787EE1" w:rsidP="00157CE1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87EE1" w:rsidRPr="00E87613" w:rsidRDefault="00787EE1" w:rsidP="00157CE1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tr-TR"/>
        </w:rPr>
      </w:pPr>
    </w:p>
    <w:p w:rsidR="00FA016C" w:rsidRPr="00512F8F" w:rsidRDefault="00FA016C" w:rsidP="00157CE1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512F8F" w:rsidRDefault="00FA016C" w:rsidP="00512F8F">
      <w:pPr>
        <w:spacing w:after="0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512F8F">
        <w:rPr>
          <w:rFonts w:ascii="Times New Roman" w:hAnsi="Times New Roman"/>
          <w:b/>
          <w:sz w:val="24"/>
          <w:szCs w:val="24"/>
          <w:lang w:eastAsia="tr-TR"/>
        </w:rPr>
        <w:lastRenderedPageBreak/>
        <w:t>Çağrı Kapsamında Öngörülen Faaliyetlerin Kapsamı</w:t>
      </w:r>
    </w:p>
    <w:p w:rsidR="00512F8F" w:rsidRDefault="00512F8F" w:rsidP="00512F8F">
      <w:pPr>
        <w:spacing w:after="0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4F6789" w:rsidRDefault="00787EE1" w:rsidP="00512F8F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787EE1">
        <w:rPr>
          <w:rFonts w:ascii="Times New Roman" w:hAnsi="Times New Roman"/>
          <w:sz w:val="24"/>
          <w:szCs w:val="24"/>
          <w:lang w:eastAsia="tr-TR"/>
        </w:rPr>
        <w:t>Projenin temel unsuru Avrupa çapında birlikte çalışmaya ve</w:t>
      </w:r>
      <w:r>
        <w:rPr>
          <w:rFonts w:ascii="Times New Roman" w:hAnsi="Times New Roman"/>
          <w:sz w:val="24"/>
          <w:szCs w:val="24"/>
          <w:lang w:eastAsia="tr-TR"/>
        </w:rPr>
        <w:t xml:space="preserve"> haciz durumundaki işletmelere </w:t>
      </w:r>
      <w:r w:rsidR="004F6789">
        <w:rPr>
          <w:rFonts w:ascii="Times New Roman" w:hAnsi="Times New Roman"/>
          <w:sz w:val="24"/>
          <w:szCs w:val="24"/>
          <w:lang w:eastAsia="tr-TR"/>
        </w:rPr>
        <w:t>destek vermeye</w:t>
      </w:r>
      <w:r w:rsidRPr="00787EE1">
        <w:rPr>
          <w:rFonts w:ascii="Times New Roman" w:hAnsi="Times New Roman"/>
          <w:sz w:val="24"/>
          <w:szCs w:val="24"/>
          <w:lang w:eastAsia="tr-TR"/>
        </w:rPr>
        <w:t xml:space="preserve"> kendini adamış uzmanlar</w:t>
      </w:r>
      <w:r w:rsidR="004F6789">
        <w:rPr>
          <w:rFonts w:ascii="Times New Roman" w:hAnsi="Times New Roman"/>
          <w:sz w:val="24"/>
          <w:szCs w:val="24"/>
          <w:lang w:eastAsia="tr-TR"/>
        </w:rPr>
        <w:t>dan oluşan bir network oluşturulmasıdır. Bu uzmanlar bu amaçla:</w:t>
      </w:r>
    </w:p>
    <w:p w:rsidR="004F6789" w:rsidRPr="004F6789" w:rsidRDefault="004F6789" w:rsidP="00512F8F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512F8F" w:rsidRPr="004F6789" w:rsidRDefault="004F6789" w:rsidP="004F6789">
      <w:pPr>
        <w:pStyle w:val="ListParagraph"/>
        <w:numPr>
          <w:ilvl w:val="0"/>
          <w:numId w:val="10"/>
        </w:numPr>
        <w:jc w:val="both"/>
        <w:rPr>
          <w:lang w:eastAsia="tr-TR"/>
        </w:rPr>
      </w:pPr>
      <w:r w:rsidRPr="001256C5">
        <w:rPr>
          <w:lang w:val="tr-TR" w:eastAsia="tr-TR"/>
        </w:rPr>
        <w:t>Destek</w:t>
      </w:r>
      <w:r w:rsidRPr="004F6789">
        <w:rPr>
          <w:lang w:eastAsia="tr-TR"/>
        </w:rPr>
        <w:t xml:space="preserve"> </w:t>
      </w:r>
      <w:r w:rsidRPr="001256C5">
        <w:rPr>
          <w:lang w:val="tr-TR" w:eastAsia="tr-TR"/>
        </w:rPr>
        <w:t>hizmetleri</w:t>
      </w:r>
      <w:r w:rsidRPr="004F6789">
        <w:rPr>
          <w:lang w:eastAsia="tr-TR"/>
        </w:rPr>
        <w:t xml:space="preserve">, </w:t>
      </w:r>
      <w:r w:rsidRPr="001256C5">
        <w:rPr>
          <w:lang w:val="tr-TR" w:eastAsia="tr-TR"/>
        </w:rPr>
        <w:t>danışma paketi ve</w:t>
      </w:r>
      <w:r w:rsidRPr="004F6789">
        <w:rPr>
          <w:lang w:eastAsia="tr-TR"/>
        </w:rPr>
        <w:t xml:space="preserve"> networkün kurulmasını,</w:t>
      </w:r>
    </w:p>
    <w:p w:rsidR="004F6789" w:rsidRPr="005146FA" w:rsidRDefault="004F6789" w:rsidP="004F6789">
      <w:pPr>
        <w:pStyle w:val="ListParagraph"/>
        <w:numPr>
          <w:ilvl w:val="0"/>
          <w:numId w:val="10"/>
        </w:numPr>
        <w:jc w:val="both"/>
        <w:rPr>
          <w:lang w:val="tr-TR" w:eastAsia="tr-TR"/>
        </w:rPr>
      </w:pPr>
      <w:r w:rsidRPr="004F6789">
        <w:rPr>
          <w:lang w:eastAsia="tr-TR"/>
        </w:rPr>
        <w:t>Haciz durumundaki işletmelerin belirlenmesini,</w:t>
      </w:r>
    </w:p>
    <w:p w:rsidR="004F6789" w:rsidRPr="004F6789" w:rsidRDefault="004F6789" w:rsidP="004F6789">
      <w:pPr>
        <w:pStyle w:val="ListParagraph"/>
        <w:numPr>
          <w:ilvl w:val="0"/>
          <w:numId w:val="10"/>
        </w:numPr>
        <w:jc w:val="both"/>
        <w:rPr>
          <w:lang w:eastAsia="tr-TR"/>
        </w:rPr>
      </w:pPr>
      <w:r w:rsidRPr="005146FA">
        <w:rPr>
          <w:lang w:val="tr-TR" w:eastAsia="tr-TR"/>
        </w:rPr>
        <w:t>Haci</w:t>
      </w:r>
      <w:r w:rsidR="004B37C8" w:rsidRPr="005146FA">
        <w:rPr>
          <w:lang w:val="tr-TR" w:eastAsia="tr-TR"/>
        </w:rPr>
        <w:t>z</w:t>
      </w:r>
      <w:r w:rsidR="004B37C8">
        <w:rPr>
          <w:lang w:eastAsia="tr-TR"/>
        </w:rPr>
        <w:t xml:space="preserve"> </w:t>
      </w:r>
      <w:proofErr w:type="spellStart"/>
      <w:r w:rsidRPr="004F6789">
        <w:rPr>
          <w:lang w:eastAsia="tr-TR"/>
        </w:rPr>
        <w:t>durumundaki</w:t>
      </w:r>
      <w:proofErr w:type="spellEnd"/>
      <w:r w:rsidRPr="004F6789">
        <w:rPr>
          <w:lang w:eastAsia="tr-TR"/>
        </w:rPr>
        <w:t xml:space="preserve"> </w:t>
      </w:r>
      <w:proofErr w:type="spellStart"/>
      <w:r w:rsidRPr="004F6789">
        <w:rPr>
          <w:lang w:eastAsia="tr-TR"/>
        </w:rPr>
        <w:t>işletmelerin</w:t>
      </w:r>
      <w:proofErr w:type="spellEnd"/>
      <w:r w:rsidRPr="004F6789">
        <w:rPr>
          <w:lang w:eastAsia="tr-TR"/>
        </w:rPr>
        <w:t xml:space="preserve"> </w:t>
      </w:r>
      <w:proofErr w:type="spellStart"/>
      <w:r w:rsidRPr="004F6789">
        <w:rPr>
          <w:lang w:eastAsia="tr-TR"/>
        </w:rPr>
        <w:t>desteklenmesi</w:t>
      </w:r>
      <w:proofErr w:type="spellEnd"/>
      <w:r w:rsidRPr="004F6789">
        <w:rPr>
          <w:lang w:eastAsia="tr-TR"/>
        </w:rPr>
        <w:t xml:space="preserve"> </w:t>
      </w:r>
      <w:proofErr w:type="spellStart"/>
      <w:r w:rsidRPr="004F6789">
        <w:rPr>
          <w:lang w:eastAsia="tr-TR"/>
        </w:rPr>
        <w:t>ve</w:t>
      </w:r>
      <w:proofErr w:type="spellEnd"/>
      <w:r w:rsidRPr="004F6789">
        <w:rPr>
          <w:lang w:eastAsia="tr-TR"/>
        </w:rPr>
        <w:t xml:space="preserve"> </w:t>
      </w:r>
      <w:proofErr w:type="spellStart"/>
      <w:r w:rsidRPr="004F6789">
        <w:rPr>
          <w:lang w:eastAsia="tr-TR"/>
        </w:rPr>
        <w:t>gelecekteki</w:t>
      </w:r>
      <w:proofErr w:type="spellEnd"/>
      <w:r w:rsidRPr="004F6789">
        <w:rPr>
          <w:lang w:eastAsia="tr-TR"/>
        </w:rPr>
        <w:t xml:space="preserve"> </w:t>
      </w:r>
      <w:proofErr w:type="spellStart"/>
      <w:r w:rsidRPr="004F6789">
        <w:rPr>
          <w:lang w:eastAsia="tr-TR"/>
        </w:rPr>
        <w:t>gelişimlerinin</w:t>
      </w:r>
      <w:proofErr w:type="spellEnd"/>
      <w:r w:rsidRPr="004F6789">
        <w:rPr>
          <w:lang w:eastAsia="tr-TR"/>
        </w:rPr>
        <w:t xml:space="preserve"> </w:t>
      </w:r>
      <w:proofErr w:type="spellStart"/>
      <w:r w:rsidRPr="004F6789">
        <w:rPr>
          <w:lang w:eastAsia="tr-TR"/>
        </w:rPr>
        <w:t>takip</w:t>
      </w:r>
      <w:proofErr w:type="spellEnd"/>
      <w:r w:rsidRPr="004F6789">
        <w:rPr>
          <w:lang w:eastAsia="tr-TR"/>
        </w:rPr>
        <w:t xml:space="preserve"> </w:t>
      </w:r>
      <w:proofErr w:type="spellStart"/>
      <w:r w:rsidRPr="004F6789">
        <w:rPr>
          <w:lang w:eastAsia="tr-TR"/>
        </w:rPr>
        <w:t>edilmesini</w:t>
      </w:r>
      <w:proofErr w:type="spellEnd"/>
      <w:r w:rsidRPr="004F6789">
        <w:rPr>
          <w:lang w:eastAsia="tr-TR"/>
        </w:rPr>
        <w:t xml:space="preserve"> </w:t>
      </w:r>
      <w:proofErr w:type="spellStart"/>
      <w:r w:rsidRPr="004F6789">
        <w:rPr>
          <w:lang w:eastAsia="tr-TR"/>
        </w:rPr>
        <w:t>sağlayacaklardır</w:t>
      </w:r>
      <w:proofErr w:type="spellEnd"/>
      <w:r w:rsidRPr="004F6789">
        <w:rPr>
          <w:lang w:eastAsia="tr-TR"/>
        </w:rPr>
        <w:t xml:space="preserve">. </w:t>
      </w:r>
    </w:p>
    <w:p w:rsidR="004F6789" w:rsidRDefault="004F6789" w:rsidP="004F6789">
      <w:pPr>
        <w:spacing w:after="0"/>
        <w:jc w:val="both"/>
        <w:rPr>
          <w:rFonts w:ascii="Times New Roman" w:hAnsi="Times New Roman"/>
          <w:sz w:val="24"/>
          <w:lang w:eastAsia="tr-TR"/>
        </w:rPr>
      </w:pPr>
    </w:p>
    <w:p w:rsidR="0074299C" w:rsidRPr="00E83A26" w:rsidRDefault="004F6789" w:rsidP="0074299C">
      <w:pPr>
        <w:spacing w:after="0" w:line="240" w:lineRule="auto"/>
        <w:jc w:val="both"/>
        <w:rPr>
          <w:rFonts w:ascii="Times New Roman" w:hAnsi="Times New Roman"/>
          <w:sz w:val="24"/>
          <w:lang w:eastAsia="tr-TR"/>
        </w:rPr>
      </w:pPr>
      <w:r w:rsidRPr="004F6789">
        <w:rPr>
          <w:rFonts w:ascii="Times New Roman" w:hAnsi="Times New Roman"/>
          <w:sz w:val="24"/>
          <w:lang w:eastAsia="tr-TR"/>
        </w:rPr>
        <w:t>Tüm proje teklif</w:t>
      </w:r>
      <w:r>
        <w:rPr>
          <w:rFonts w:ascii="Times New Roman" w:hAnsi="Times New Roman"/>
          <w:sz w:val="24"/>
          <w:lang w:eastAsia="tr-TR"/>
        </w:rPr>
        <w:t>l</w:t>
      </w:r>
      <w:r w:rsidRPr="004F6789">
        <w:rPr>
          <w:rFonts w:ascii="Times New Roman" w:hAnsi="Times New Roman"/>
          <w:sz w:val="24"/>
          <w:lang w:eastAsia="tr-TR"/>
        </w:rPr>
        <w:t xml:space="preserve">eri bu üç faaliyeti içermelidir. </w:t>
      </w:r>
      <w:r w:rsidR="0074299C" w:rsidRPr="00E83A26">
        <w:rPr>
          <w:rFonts w:ascii="Times New Roman" w:hAnsi="Times New Roman"/>
          <w:sz w:val="24"/>
          <w:lang w:eastAsia="tr-TR"/>
        </w:rPr>
        <w:t>Proje süresi 36 aydır.</w:t>
      </w:r>
    </w:p>
    <w:p w:rsidR="004F6789" w:rsidRDefault="004F6789" w:rsidP="004B37C8">
      <w:pPr>
        <w:spacing w:after="0" w:line="240" w:lineRule="auto"/>
        <w:jc w:val="both"/>
        <w:rPr>
          <w:rFonts w:ascii="Times New Roman" w:hAnsi="Times New Roman"/>
          <w:sz w:val="24"/>
          <w:lang w:eastAsia="tr-TR"/>
        </w:rPr>
      </w:pPr>
    </w:p>
    <w:p w:rsidR="004F6789" w:rsidRDefault="004F6789" w:rsidP="0074299C">
      <w:pPr>
        <w:spacing w:after="0"/>
        <w:jc w:val="both"/>
        <w:rPr>
          <w:rFonts w:ascii="Times New Roman" w:hAnsi="Times New Roman"/>
          <w:b/>
          <w:sz w:val="24"/>
          <w:lang w:eastAsia="tr-TR"/>
        </w:rPr>
      </w:pPr>
      <w:r w:rsidRPr="004F6789">
        <w:rPr>
          <w:rFonts w:ascii="Times New Roman" w:hAnsi="Times New Roman"/>
          <w:b/>
          <w:sz w:val="24"/>
          <w:lang w:eastAsia="tr-TR"/>
        </w:rPr>
        <w:t>Beklenen Sonuçlar ve Çıktılar</w:t>
      </w:r>
    </w:p>
    <w:p w:rsidR="004F6789" w:rsidRDefault="004F6789" w:rsidP="0074299C">
      <w:pPr>
        <w:spacing w:after="0" w:line="240" w:lineRule="auto"/>
        <w:jc w:val="both"/>
        <w:rPr>
          <w:rFonts w:ascii="Times New Roman" w:hAnsi="Times New Roman"/>
          <w:b/>
          <w:sz w:val="24"/>
          <w:lang w:eastAsia="tr-TR"/>
        </w:rPr>
      </w:pPr>
    </w:p>
    <w:p w:rsidR="007D0410" w:rsidRDefault="007D0410" w:rsidP="0074299C">
      <w:pPr>
        <w:spacing w:after="0" w:line="240" w:lineRule="auto"/>
        <w:jc w:val="both"/>
        <w:rPr>
          <w:rFonts w:ascii="Times New Roman" w:hAnsi="Times New Roman"/>
          <w:sz w:val="24"/>
          <w:lang w:eastAsia="tr-TR"/>
        </w:rPr>
      </w:pPr>
      <w:r>
        <w:rPr>
          <w:rFonts w:ascii="Times New Roman" w:hAnsi="Times New Roman"/>
          <w:sz w:val="24"/>
          <w:lang w:eastAsia="tr-TR"/>
        </w:rPr>
        <w:t>Bu proje teklif çağrısıyla 4 AB üyesi ülkede kurulacak olan network ile;</w:t>
      </w:r>
    </w:p>
    <w:p w:rsidR="007D0410" w:rsidRDefault="007D0410" w:rsidP="002B5CDF">
      <w:pPr>
        <w:spacing w:after="0" w:line="240" w:lineRule="auto"/>
        <w:jc w:val="both"/>
        <w:rPr>
          <w:rFonts w:ascii="Times New Roman" w:hAnsi="Times New Roman"/>
          <w:sz w:val="24"/>
          <w:lang w:eastAsia="tr-TR"/>
        </w:rPr>
      </w:pPr>
    </w:p>
    <w:p w:rsidR="002B5CDF" w:rsidRDefault="007D0410" w:rsidP="007D0410">
      <w:pPr>
        <w:pStyle w:val="ListParagraph"/>
        <w:numPr>
          <w:ilvl w:val="0"/>
          <w:numId w:val="11"/>
        </w:numPr>
        <w:jc w:val="both"/>
        <w:rPr>
          <w:lang w:eastAsia="tr-TR"/>
        </w:rPr>
      </w:pPr>
      <w:proofErr w:type="spellStart"/>
      <w:r>
        <w:rPr>
          <w:lang w:eastAsia="tr-TR"/>
        </w:rPr>
        <w:t>İlgili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paydaşların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uzmanların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katılımı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ile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aktif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bir</w:t>
      </w:r>
      <w:proofErr w:type="spellEnd"/>
      <w:r>
        <w:rPr>
          <w:lang w:eastAsia="tr-TR"/>
        </w:rPr>
        <w:t xml:space="preserve"> </w:t>
      </w:r>
      <w:r w:rsidRPr="007D0410">
        <w:rPr>
          <w:lang w:eastAsia="tr-TR"/>
        </w:rPr>
        <w:t>“</w:t>
      </w:r>
      <w:proofErr w:type="spellStart"/>
      <w:r w:rsidRPr="007D0410">
        <w:rPr>
          <w:lang w:eastAsia="tr-TR"/>
        </w:rPr>
        <w:t>İşletmelere</w:t>
      </w:r>
      <w:proofErr w:type="spellEnd"/>
      <w:r w:rsidRPr="007D0410">
        <w:rPr>
          <w:lang w:eastAsia="tr-TR"/>
        </w:rPr>
        <w:t xml:space="preserve"> </w:t>
      </w:r>
      <w:proofErr w:type="spellStart"/>
      <w:r w:rsidRPr="007D0410">
        <w:rPr>
          <w:lang w:eastAsia="tr-TR"/>
        </w:rPr>
        <w:t>ve</w:t>
      </w:r>
      <w:proofErr w:type="spellEnd"/>
      <w:r w:rsidRPr="007D0410">
        <w:rPr>
          <w:lang w:eastAsia="tr-TR"/>
        </w:rPr>
        <w:t xml:space="preserve"> </w:t>
      </w:r>
      <w:proofErr w:type="spellStart"/>
      <w:r w:rsidRPr="007D0410">
        <w:rPr>
          <w:lang w:eastAsia="tr-TR"/>
        </w:rPr>
        <w:t>Yeniden</w:t>
      </w:r>
      <w:proofErr w:type="spellEnd"/>
      <w:r w:rsidRPr="007D0410">
        <w:rPr>
          <w:lang w:eastAsia="tr-TR"/>
        </w:rPr>
        <w:t xml:space="preserve"> </w:t>
      </w:r>
      <w:proofErr w:type="spellStart"/>
      <w:r w:rsidRPr="007D0410">
        <w:rPr>
          <w:lang w:eastAsia="tr-TR"/>
        </w:rPr>
        <w:t>Başlayanlara</w:t>
      </w:r>
      <w:proofErr w:type="spellEnd"/>
      <w:r w:rsidRPr="007D0410">
        <w:rPr>
          <w:lang w:eastAsia="tr-TR"/>
        </w:rPr>
        <w:t xml:space="preserve"> </w:t>
      </w:r>
      <w:proofErr w:type="spellStart"/>
      <w:r w:rsidRPr="007D0410">
        <w:rPr>
          <w:lang w:eastAsia="tr-TR"/>
        </w:rPr>
        <w:t>Destek</w:t>
      </w:r>
      <w:proofErr w:type="spellEnd"/>
      <w:r w:rsidRPr="007D0410">
        <w:rPr>
          <w:lang w:eastAsia="tr-TR"/>
        </w:rPr>
        <w:t xml:space="preserve"> </w:t>
      </w:r>
      <w:proofErr w:type="spellStart"/>
      <w:r w:rsidRPr="007D0410">
        <w:rPr>
          <w:lang w:eastAsia="tr-TR"/>
        </w:rPr>
        <w:t>ve</w:t>
      </w:r>
      <w:proofErr w:type="spellEnd"/>
      <w:r w:rsidRPr="007D0410">
        <w:rPr>
          <w:lang w:eastAsia="tr-TR"/>
        </w:rPr>
        <w:t xml:space="preserve"> </w:t>
      </w:r>
      <w:proofErr w:type="spellStart"/>
      <w:r w:rsidRPr="007D0410">
        <w:rPr>
          <w:lang w:eastAsia="tr-TR"/>
        </w:rPr>
        <w:t>Erken</w:t>
      </w:r>
      <w:proofErr w:type="spellEnd"/>
      <w:r w:rsidRPr="007D0410">
        <w:rPr>
          <w:lang w:eastAsia="tr-TR"/>
        </w:rPr>
        <w:t xml:space="preserve"> </w:t>
      </w:r>
      <w:proofErr w:type="spellStart"/>
      <w:r w:rsidRPr="007D0410">
        <w:rPr>
          <w:lang w:eastAsia="tr-TR"/>
        </w:rPr>
        <w:t>Uyarı</w:t>
      </w:r>
      <w:proofErr w:type="spellEnd"/>
      <w:r w:rsidRPr="007D0410">
        <w:rPr>
          <w:lang w:eastAsia="tr-TR"/>
        </w:rPr>
        <w:t xml:space="preserve"> </w:t>
      </w:r>
      <w:proofErr w:type="spellStart"/>
      <w:r w:rsidRPr="007D0410">
        <w:rPr>
          <w:lang w:eastAsia="tr-TR"/>
        </w:rPr>
        <w:t>Ağı</w:t>
      </w:r>
      <w:proofErr w:type="spellEnd"/>
      <w:r w:rsidRPr="007D0410">
        <w:rPr>
          <w:lang w:eastAsia="tr-TR"/>
        </w:rPr>
        <w:t xml:space="preserve">” </w:t>
      </w:r>
      <w:proofErr w:type="spellStart"/>
      <w:r w:rsidRPr="007D0410">
        <w:rPr>
          <w:lang w:eastAsia="tr-TR"/>
        </w:rPr>
        <w:t>oluşturulması</w:t>
      </w:r>
      <w:proofErr w:type="spellEnd"/>
      <w:r>
        <w:rPr>
          <w:lang w:eastAsia="tr-TR"/>
        </w:rPr>
        <w:t>,</w:t>
      </w:r>
    </w:p>
    <w:p w:rsidR="007D0410" w:rsidRDefault="007D0410" w:rsidP="007D0410">
      <w:pPr>
        <w:pStyle w:val="ListParagraph"/>
        <w:numPr>
          <w:ilvl w:val="0"/>
          <w:numId w:val="11"/>
        </w:numPr>
        <w:jc w:val="both"/>
        <w:rPr>
          <w:lang w:eastAsia="tr-TR"/>
        </w:rPr>
      </w:pPr>
      <w:proofErr w:type="spellStart"/>
      <w:r>
        <w:rPr>
          <w:lang w:eastAsia="tr-TR"/>
        </w:rPr>
        <w:t>Finansal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açıdan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zor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durumda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işletmeler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için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aktif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Erken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Uyarı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Mekanizması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geliştirilmesi</w:t>
      </w:r>
      <w:proofErr w:type="spellEnd"/>
      <w:r>
        <w:rPr>
          <w:lang w:eastAsia="tr-TR"/>
        </w:rPr>
        <w:t>,</w:t>
      </w:r>
    </w:p>
    <w:p w:rsidR="007D0410" w:rsidRDefault="007D0410" w:rsidP="007D0410">
      <w:pPr>
        <w:pStyle w:val="ListParagraph"/>
        <w:numPr>
          <w:ilvl w:val="0"/>
          <w:numId w:val="11"/>
        </w:numPr>
        <w:jc w:val="both"/>
        <w:rPr>
          <w:lang w:eastAsia="tr-TR"/>
        </w:rPr>
      </w:pPr>
      <w:proofErr w:type="spellStart"/>
      <w:r>
        <w:rPr>
          <w:lang w:eastAsia="tr-TR"/>
        </w:rPr>
        <w:t>Ilgili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verilerin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toplanması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analizi</w:t>
      </w:r>
      <w:proofErr w:type="spellEnd"/>
      <w:r>
        <w:rPr>
          <w:lang w:eastAsia="tr-TR"/>
        </w:rPr>
        <w:t>,</w:t>
      </w:r>
    </w:p>
    <w:p w:rsidR="007D0410" w:rsidRDefault="007D0410" w:rsidP="007D0410">
      <w:pPr>
        <w:pStyle w:val="ListParagraph"/>
        <w:numPr>
          <w:ilvl w:val="0"/>
          <w:numId w:val="11"/>
        </w:numPr>
        <w:jc w:val="both"/>
        <w:rPr>
          <w:lang w:eastAsia="tr-TR"/>
        </w:rPr>
      </w:pPr>
      <w:proofErr w:type="spellStart"/>
      <w:r>
        <w:rPr>
          <w:lang w:eastAsia="tr-TR"/>
        </w:rPr>
        <w:t>Ticari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başarısızlık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ile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damgalanmanın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engellenmesine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yönelik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tedbirler</w:t>
      </w:r>
      <w:proofErr w:type="spellEnd"/>
      <w:r>
        <w:rPr>
          <w:lang w:eastAsia="tr-TR"/>
        </w:rPr>
        <w:t>/</w:t>
      </w:r>
      <w:proofErr w:type="spellStart"/>
      <w:r>
        <w:rPr>
          <w:lang w:eastAsia="tr-TR"/>
        </w:rPr>
        <w:t>faaliyetler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geliştirilmesi</w:t>
      </w:r>
      <w:proofErr w:type="spellEnd"/>
      <w:r>
        <w:rPr>
          <w:lang w:eastAsia="tr-TR"/>
        </w:rPr>
        <w:t>,</w:t>
      </w:r>
    </w:p>
    <w:p w:rsidR="007D0410" w:rsidRDefault="007D0410" w:rsidP="007D0410">
      <w:pPr>
        <w:pStyle w:val="ListParagraph"/>
        <w:numPr>
          <w:ilvl w:val="0"/>
          <w:numId w:val="11"/>
        </w:numPr>
        <w:jc w:val="both"/>
        <w:rPr>
          <w:lang w:eastAsia="tr-TR"/>
        </w:rPr>
      </w:pPr>
      <w:proofErr w:type="spellStart"/>
      <w:r>
        <w:rPr>
          <w:lang w:eastAsia="tr-TR"/>
        </w:rPr>
        <w:t>Eğitim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çalıştay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 w:rsidR="00E37E8D">
        <w:rPr>
          <w:lang w:eastAsia="tr-TR"/>
        </w:rPr>
        <w:t>eşdüzeyli</w:t>
      </w:r>
      <w:proofErr w:type="spellEnd"/>
      <w:r w:rsidR="00E37E8D">
        <w:rPr>
          <w:lang w:eastAsia="tr-TR"/>
        </w:rPr>
        <w:t xml:space="preserve"> </w:t>
      </w:r>
      <w:proofErr w:type="spellStart"/>
      <w:r w:rsidR="00E37E8D">
        <w:rPr>
          <w:lang w:eastAsia="tr-TR"/>
        </w:rPr>
        <w:t>öğrenme</w:t>
      </w:r>
      <w:proofErr w:type="spellEnd"/>
      <w:r w:rsidR="00E37E8D">
        <w:rPr>
          <w:lang w:eastAsia="tr-TR"/>
        </w:rPr>
        <w:t xml:space="preserve"> </w:t>
      </w:r>
      <w:proofErr w:type="spellStart"/>
      <w:r w:rsidR="00E37E8D">
        <w:rPr>
          <w:lang w:eastAsia="tr-TR"/>
        </w:rPr>
        <w:t>faaliyetlerinin</w:t>
      </w:r>
      <w:proofErr w:type="spellEnd"/>
      <w:r w:rsidR="00E37E8D">
        <w:rPr>
          <w:lang w:eastAsia="tr-TR"/>
        </w:rPr>
        <w:t xml:space="preserve"> </w:t>
      </w:r>
      <w:proofErr w:type="spellStart"/>
      <w:r w:rsidR="00E37E8D">
        <w:rPr>
          <w:lang w:eastAsia="tr-TR"/>
        </w:rPr>
        <w:t>düzenlenmesi</w:t>
      </w:r>
      <w:proofErr w:type="spellEnd"/>
      <w:r w:rsidR="00E37E8D">
        <w:rPr>
          <w:lang w:eastAsia="tr-TR"/>
        </w:rPr>
        <w:t>,</w:t>
      </w:r>
    </w:p>
    <w:p w:rsidR="00E37E8D" w:rsidRDefault="00E37E8D" w:rsidP="007D0410">
      <w:pPr>
        <w:pStyle w:val="ListParagraph"/>
        <w:numPr>
          <w:ilvl w:val="0"/>
          <w:numId w:val="11"/>
        </w:numPr>
        <w:jc w:val="both"/>
        <w:rPr>
          <w:lang w:eastAsia="tr-TR"/>
        </w:rPr>
      </w:pPr>
      <w:proofErr w:type="spellStart"/>
      <w:r>
        <w:rPr>
          <w:lang w:eastAsia="tr-TR"/>
        </w:rPr>
        <w:t>Politika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önerileri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geliştirilmesi</w:t>
      </w:r>
      <w:proofErr w:type="spellEnd"/>
      <w:r>
        <w:rPr>
          <w:lang w:eastAsia="tr-TR"/>
        </w:rPr>
        <w:t>,</w:t>
      </w:r>
    </w:p>
    <w:p w:rsidR="00E37E8D" w:rsidRDefault="00E37E8D" w:rsidP="007D0410">
      <w:pPr>
        <w:pStyle w:val="ListParagraph"/>
        <w:numPr>
          <w:ilvl w:val="0"/>
          <w:numId w:val="11"/>
        </w:numPr>
        <w:jc w:val="both"/>
        <w:rPr>
          <w:lang w:eastAsia="tr-TR"/>
        </w:rPr>
      </w:pPr>
      <w:proofErr w:type="spellStart"/>
      <w:r>
        <w:rPr>
          <w:lang w:eastAsia="tr-TR"/>
        </w:rPr>
        <w:t>Proje</w:t>
      </w:r>
      <w:r w:rsidR="006B102A">
        <w:rPr>
          <w:lang w:eastAsia="tr-TR"/>
        </w:rPr>
        <w:t>nin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tüm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konsorsiyum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ortakları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için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Brüksel’de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Avrupa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Komisyonu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EASME</w:t>
      </w:r>
      <w:r w:rsidR="006B102A">
        <w:rPr>
          <w:lang w:eastAsia="tr-TR"/>
        </w:rPr>
        <w:t>’nin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katılımı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ile</w:t>
      </w:r>
      <w:proofErr w:type="spellEnd"/>
      <w:r>
        <w:rPr>
          <w:lang w:eastAsia="tr-TR"/>
        </w:rPr>
        <w:t xml:space="preserve"> her </w:t>
      </w:r>
      <w:proofErr w:type="spellStart"/>
      <w:r>
        <w:rPr>
          <w:lang w:eastAsia="tr-TR"/>
        </w:rPr>
        <w:t>yıl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bir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gözden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geçirme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toplantısı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gerçekleştirilecektir</w:t>
      </w:r>
      <w:proofErr w:type="spellEnd"/>
      <w:r>
        <w:rPr>
          <w:lang w:eastAsia="tr-TR"/>
        </w:rPr>
        <w:t xml:space="preserve">. </w:t>
      </w:r>
      <w:proofErr w:type="spellStart"/>
      <w:r>
        <w:rPr>
          <w:lang w:eastAsia="tr-TR"/>
        </w:rPr>
        <w:t>Projenin</w:t>
      </w:r>
      <w:proofErr w:type="spellEnd"/>
      <w:r>
        <w:rPr>
          <w:lang w:eastAsia="tr-TR"/>
        </w:rPr>
        <w:t xml:space="preserve"> </w:t>
      </w:r>
      <w:proofErr w:type="gramStart"/>
      <w:r>
        <w:rPr>
          <w:lang w:eastAsia="tr-TR"/>
        </w:rPr>
        <w:t>11.,</w:t>
      </w:r>
      <w:proofErr w:type="gramEnd"/>
      <w:r>
        <w:rPr>
          <w:lang w:eastAsia="tr-TR"/>
        </w:rPr>
        <w:t xml:space="preserve"> 21. </w:t>
      </w:r>
      <w:proofErr w:type="gramStart"/>
      <w:r>
        <w:rPr>
          <w:lang w:eastAsia="tr-TR"/>
        </w:rPr>
        <w:t>ve</w:t>
      </w:r>
      <w:proofErr w:type="gramEnd"/>
      <w:r>
        <w:rPr>
          <w:lang w:eastAsia="tr-TR"/>
        </w:rPr>
        <w:t xml:space="preserve"> 29. </w:t>
      </w:r>
      <w:proofErr w:type="spellStart"/>
      <w:proofErr w:type="gramStart"/>
      <w:r>
        <w:rPr>
          <w:lang w:eastAsia="tr-TR"/>
        </w:rPr>
        <w:t>aylarında</w:t>
      </w:r>
      <w:proofErr w:type="spellEnd"/>
      <w:proofErr w:type="gramEnd"/>
      <w:r w:rsidR="006B102A">
        <w:rPr>
          <w:lang w:eastAsia="tr-TR"/>
        </w:rPr>
        <w:t xml:space="preserve"> </w:t>
      </w:r>
      <w:proofErr w:type="spellStart"/>
      <w:r w:rsidR="006B102A">
        <w:rPr>
          <w:lang w:eastAsia="tr-TR"/>
        </w:rPr>
        <w:t>olmak</w:t>
      </w:r>
      <w:proofErr w:type="spellEnd"/>
      <w:r w:rsidR="006B102A">
        <w:rPr>
          <w:lang w:eastAsia="tr-TR"/>
        </w:rPr>
        <w:t xml:space="preserve"> </w:t>
      </w:r>
      <w:proofErr w:type="spellStart"/>
      <w:r w:rsidR="006B102A">
        <w:rPr>
          <w:lang w:eastAsia="tr-TR"/>
        </w:rPr>
        <w:t>üzere</w:t>
      </w:r>
      <w:proofErr w:type="spellEnd"/>
      <w:r w:rsidR="006B102A">
        <w:rPr>
          <w:lang w:eastAsia="tr-TR"/>
        </w:rPr>
        <w:t xml:space="preserve"> </w:t>
      </w:r>
      <w:proofErr w:type="spellStart"/>
      <w:r w:rsidR="006B102A">
        <w:rPr>
          <w:lang w:eastAsia="tr-TR"/>
        </w:rPr>
        <w:t>toplamda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üç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tane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gözden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geçirme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toplantısı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yapılması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öngörülmektedir</w:t>
      </w:r>
      <w:proofErr w:type="spellEnd"/>
      <w:r>
        <w:rPr>
          <w:lang w:eastAsia="tr-TR"/>
        </w:rPr>
        <w:t xml:space="preserve">. </w:t>
      </w:r>
    </w:p>
    <w:p w:rsidR="006B102A" w:rsidRPr="007D0410" w:rsidRDefault="006B102A" w:rsidP="007D0410">
      <w:pPr>
        <w:pStyle w:val="ListParagraph"/>
        <w:numPr>
          <w:ilvl w:val="0"/>
          <w:numId w:val="11"/>
        </w:numPr>
        <w:jc w:val="both"/>
        <w:rPr>
          <w:lang w:eastAsia="tr-TR"/>
        </w:rPr>
      </w:pPr>
      <w:proofErr w:type="spellStart"/>
      <w:r>
        <w:rPr>
          <w:lang w:eastAsia="tr-TR"/>
        </w:rPr>
        <w:t>Projenin</w:t>
      </w:r>
      <w:proofErr w:type="spellEnd"/>
      <w:r>
        <w:rPr>
          <w:lang w:eastAsia="tr-TR"/>
        </w:rPr>
        <w:t xml:space="preserve"> 10. </w:t>
      </w:r>
      <w:proofErr w:type="gramStart"/>
      <w:r>
        <w:rPr>
          <w:lang w:eastAsia="tr-TR"/>
        </w:rPr>
        <w:t>ve</w:t>
      </w:r>
      <w:proofErr w:type="gramEnd"/>
      <w:r>
        <w:rPr>
          <w:lang w:eastAsia="tr-TR"/>
        </w:rPr>
        <w:t xml:space="preserve"> 28. </w:t>
      </w:r>
      <w:proofErr w:type="spellStart"/>
      <w:proofErr w:type="gramStart"/>
      <w:r>
        <w:rPr>
          <w:lang w:eastAsia="tr-TR"/>
        </w:rPr>
        <w:t>aylarında</w:t>
      </w:r>
      <w:proofErr w:type="spellEnd"/>
      <w:proofErr w:type="gram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olmak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üzere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iki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teknik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ilerleme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raporu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beklenmektedir</w:t>
      </w:r>
      <w:proofErr w:type="spellEnd"/>
      <w:r>
        <w:rPr>
          <w:lang w:eastAsia="tr-TR"/>
        </w:rPr>
        <w:t xml:space="preserve">. </w:t>
      </w:r>
    </w:p>
    <w:p w:rsidR="004F6789" w:rsidRPr="004F6789" w:rsidRDefault="004F6789" w:rsidP="0074299C">
      <w:pPr>
        <w:spacing w:after="0"/>
        <w:jc w:val="both"/>
        <w:rPr>
          <w:rFonts w:ascii="Times New Roman" w:hAnsi="Times New Roman"/>
          <w:b/>
          <w:sz w:val="24"/>
          <w:lang w:eastAsia="tr-TR"/>
        </w:rPr>
      </w:pPr>
    </w:p>
    <w:p w:rsidR="00005B55" w:rsidRDefault="00005B55" w:rsidP="00157CE1">
      <w:pPr>
        <w:spacing w:after="0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512F8F">
        <w:rPr>
          <w:rFonts w:ascii="Times New Roman" w:hAnsi="Times New Roman"/>
          <w:b/>
          <w:sz w:val="24"/>
          <w:szCs w:val="24"/>
          <w:lang w:eastAsia="tr-TR"/>
        </w:rPr>
        <w:t>Özet Zaman Çizelgesi</w:t>
      </w:r>
    </w:p>
    <w:p w:rsidR="00512F8F" w:rsidRPr="00512F8F" w:rsidRDefault="00512F8F" w:rsidP="00157CE1">
      <w:pPr>
        <w:spacing w:after="0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"/>
        <w:gridCol w:w="4192"/>
        <w:gridCol w:w="4500"/>
      </w:tblGrid>
      <w:tr w:rsidR="00005B55" w:rsidRPr="00512F8F" w:rsidTr="003B62A1">
        <w:tc>
          <w:tcPr>
            <w:tcW w:w="236" w:type="dxa"/>
          </w:tcPr>
          <w:p w:rsidR="00005B55" w:rsidRPr="00512F8F" w:rsidRDefault="00005B55" w:rsidP="00157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192" w:type="dxa"/>
          </w:tcPr>
          <w:p w:rsidR="00005B55" w:rsidRPr="00512F8F" w:rsidRDefault="00005B55" w:rsidP="00157C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512F8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Aşamalar</w:t>
            </w:r>
          </w:p>
        </w:tc>
        <w:tc>
          <w:tcPr>
            <w:tcW w:w="4500" w:type="dxa"/>
          </w:tcPr>
          <w:p w:rsidR="00005B55" w:rsidRPr="00512F8F" w:rsidRDefault="00005B55" w:rsidP="00157C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512F8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Tarih ve zaman veya gösterge dönem</w:t>
            </w:r>
          </w:p>
        </w:tc>
      </w:tr>
      <w:tr w:rsidR="00005B55" w:rsidRPr="00512F8F" w:rsidTr="003B62A1">
        <w:tc>
          <w:tcPr>
            <w:tcW w:w="236" w:type="dxa"/>
          </w:tcPr>
          <w:p w:rsidR="00005B55" w:rsidRPr="00512F8F" w:rsidRDefault="00D12FDB" w:rsidP="00157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12F8F">
              <w:rPr>
                <w:rFonts w:ascii="Times New Roman" w:hAnsi="Times New Roman"/>
                <w:sz w:val="24"/>
                <w:szCs w:val="24"/>
                <w:lang w:eastAsia="tr-TR"/>
              </w:rPr>
              <w:t>a</w:t>
            </w:r>
            <w:r w:rsidR="00005B55" w:rsidRPr="00512F8F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192" w:type="dxa"/>
          </w:tcPr>
          <w:p w:rsidR="00005B55" w:rsidRPr="00512F8F" w:rsidRDefault="00005B55" w:rsidP="00157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12F8F">
              <w:rPr>
                <w:rFonts w:ascii="Times New Roman" w:hAnsi="Times New Roman"/>
                <w:sz w:val="24"/>
                <w:szCs w:val="24"/>
                <w:lang w:eastAsia="tr-TR"/>
              </w:rPr>
              <w:t>Son Başvuru Tarihi</w:t>
            </w:r>
          </w:p>
        </w:tc>
        <w:tc>
          <w:tcPr>
            <w:tcW w:w="4500" w:type="dxa"/>
          </w:tcPr>
          <w:p w:rsidR="00005B55" w:rsidRPr="006B102A" w:rsidRDefault="006B102A" w:rsidP="00157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B102A">
              <w:rPr>
                <w:rFonts w:ascii="Times New Roman" w:hAnsi="Times New Roman"/>
                <w:sz w:val="24"/>
                <w:szCs w:val="24"/>
                <w:lang w:eastAsia="tr-TR"/>
              </w:rPr>
              <w:t>31/05</w:t>
            </w:r>
            <w:r w:rsidR="00D12FDB" w:rsidRPr="006B102A">
              <w:rPr>
                <w:rFonts w:ascii="Times New Roman" w:hAnsi="Times New Roman"/>
                <w:sz w:val="24"/>
                <w:szCs w:val="24"/>
                <w:lang w:eastAsia="tr-TR"/>
              </w:rPr>
              <w:t>/2016</w:t>
            </w:r>
            <w:r w:rsidR="00005B55" w:rsidRPr="006B102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- </w:t>
            </w:r>
            <w:r w:rsidR="00D12FDB" w:rsidRPr="006B102A">
              <w:rPr>
                <w:rFonts w:ascii="Times New Roman" w:hAnsi="Times New Roman"/>
                <w:sz w:val="24"/>
                <w:szCs w:val="24"/>
                <w:lang w:eastAsia="tr-TR"/>
              </w:rPr>
              <w:t>17:00</w:t>
            </w:r>
            <w:r w:rsidR="00005B55" w:rsidRPr="006B102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Brüksel saati</w:t>
            </w:r>
          </w:p>
        </w:tc>
      </w:tr>
      <w:tr w:rsidR="00005B55" w:rsidRPr="00512F8F" w:rsidTr="003B62A1">
        <w:trPr>
          <w:trHeight w:val="388"/>
        </w:trPr>
        <w:tc>
          <w:tcPr>
            <w:tcW w:w="236" w:type="dxa"/>
          </w:tcPr>
          <w:p w:rsidR="00005B55" w:rsidRPr="00512F8F" w:rsidRDefault="00D12FDB" w:rsidP="00157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12F8F">
              <w:rPr>
                <w:rFonts w:ascii="Times New Roman" w:hAnsi="Times New Roman"/>
                <w:sz w:val="24"/>
                <w:szCs w:val="24"/>
                <w:lang w:eastAsia="tr-TR"/>
              </w:rPr>
              <w:t>b</w:t>
            </w:r>
            <w:r w:rsidR="00005B55" w:rsidRPr="00512F8F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192" w:type="dxa"/>
          </w:tcPr>
          <w:p w:rsidR="00005B55" w:rsidRPr="00512F8F" w:rsidRDefault="00005B55" w:rsidP="00157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12F8F">
              <w:rPr>
                <w:rFonts w:ascii="Times New Roman" w:hAnsi="Times New Roman"/>
                <w:sz w:val="24"/>
                <w:szCs w:val="24"/>
                <w:lang w:eastAsia="tr-TR"/>
              </w:rPr>
              <w:t>Değerlendirme dönemi*</w:t>
            </w:r>
          </w:p>
        </w:tc>
        <w:tc>
          <w:tcPr>
            <w:tcW w:w="4500" w:type="dxa"/>
          </w:tcPr>
          <w:p w:rsidR="00005B55" w:rsidRPr="006B102A" w:rsidRDefault="00D12FDB" w:rsidP="008B7E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B102A">
              <w:rPr>
                <w:rFonts w:ascii="Times New Roman" w:hAnsi="Times New Roman"/>
                <w:sz w:val="24"/>
                <w:szCs w:val="24"/>
                <w:lang w:eastAsia="tr-TR"/>
              </w:rPr>
              <w:t>Haziran</w:t>
            </w:r>
            <w:r w:rsidR="006B102A" w:rsidRPr="006B102A">
              <w:rPr>
                <w:rFonts w:ascii="Times New Roman" w:hAnsi="Times New Roman"/>
                <w:sz w:val="24"/>
                <w:szCs w:val="24"/>
                <w:lang w:eastAsia="tr-TR"/>
              </w:rPr>
              <w:t>/Temmuz</w:t>
            </w:r>
            <w:r w:rsidRPr="006B102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2016</w:t>
            </w:r>
          </w:p>
        </w:tc>
      </w:tr>
      <w:tr w:rsidR="00005B55" w:rsidRPr="00512F8F" w:rsidTr="003B62A1">
        <w:tc>
          <w:tcPr>
            <w:tcW w:w="236" w:type="dxa"/>
          </w:tcPr>
          <w:p w:rsidR="00005B55" w:rsidRPr="00512F8F" w:rsidRDefault="00D12FDB" w:rsidP="00157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12F8F">
              <w:rPr>
                <w:rFonts w:ascii="Times New Roman" w:hAnsi="Times New Roman"/>
                <w:sz w:val="24"/>
                <w:szCs w:val="24"/>
                <w:lang w:eastAsia="tr-TR"/>
              </w:rPr>
              <w:t>c</w:t>
            </w:r>
            <w:r w:rsidR="00005B55" w:rsidRPr="00512F8F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192" w:type="dxa"/>
          </w:tcPr>
          <w:p w:rsidR="00005B55" w:rsidRPr="00512F8F" w:rsidRDefault="00005B55" w:rsidP="00157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12F8F">
              <w:rPr>
                <w:rFonts w:ascii="Times New Roman" w:hAnsi="Times New Roman"/>
                <w:sz w:val="24"/>
                <w:szCs w:val="24"/>
                <w:lang w:eastAsia="tr-TR"/>
              </w:rPr>
              <w:t>Başvuru sahiplerinin bilgilendirilmesi*</w:t>
            </w:r>
          </w:p>
        </w:tc>
        <w:tc>
          <w:tcPr>
            <w:tcW w:w="4500" w:type="dxa"/>
          </w:tcPr>
          <w:p w:rsidR="00005B55" w:rsidRPr="006B102A" w:rsidRDefault="006B102A" w:rsidP="00157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B102A">
              <w:rPr>
                <w:rFonts w:ascii="Times New Roman" w:hAnsi="Times New Roman"/>
                <w:sz w:val="24"/>
                <w:szCs w:val="24"/>
                <w:lang w:eastAsia="tr-TR"/>
              </w:rPr>
              <w:t>Eylül</w:t>
            </w:r>
            <w:r w:rsidR="00D12FDB" w:rsidRPr="006B102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2016</w:t>
            </w:r>
          </w:p>
        </w:tc>
      </w:tr>
      <w:tr w:rsidR="00005B55" w:rsidRPr="00512F8F" w:rsidTr="003B62A1">
        <w:tc>
          <w:tcPr>
            <w:tcW w:w="236" w:type="dxa"/>
          </w:tcPr>
          <w:p w:rsidR="00005B55" w:rsidRPr="00512F8F" w:rsidRDefault="00D12FDB" w:rsidP="00157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12F8F">
              <w:rPr>
                <w:rFonts w:ascii="Times New Roman" w:hAnsi="Times New Roman"/>
                <w:sz w:val="24"/>
                <w:szCs w:val="24"/>
                <w:lang w:eastAsia="tr-TR"/>
              </w:rPr>
              <w:t>d</w:t>
            </w:r>
            <w:r w:rsidR="00005B55" w:rsidRPr="00512F8F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192" w:type="dxa"/>
          </w:tcPr>
          <w:p w:rsidR="00005B55" w:rsidRPr="00512F8F" w:rsidRDefault="006B102A" w:rsidP="006B1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Hibe anlaşmasının </w:t>
            </w:r>
            <w:r w:rsidR="0071129A" w:rsidRPr="00512F8F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imzalanması </w:t>
            </w:r>
          </w:p>
        </w:tc>
        <w:tc>
          <w:tcPr>
            <w:tcW w:w="4500" w:type="dxa"/>
          </w:tcPr>
          <w:p w:rsidR="00005B55" w:rsidRPr="006B102A" w:rsidRDefault="006B102A" w:rsidP="00157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B102A">
              <w:rPr>
                <w:rFonts w:ascii="Times New Roman" w:hAnsi="Times New Roman"/>
                <w:sz w:val="24"/>
                <w:szCs w:val="24"/>
                <w:lang w:eastAsia="tr-TR"/>
              </w:rPr>
              <w:t>Ekim</w:t>
            </w:r>
            <w:r w:rsidR="0071129A" w:rsidRPr="006B102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2016</w:t>
            </w:r>
          </w:p>
        </w:tc>
      </w:tr>
      <w:tr w:rsidR="006B102A" w:rsidRPr="00512F8F" w:rsidTr="003B62A1">
        <w:tc>
          <w:tcPr>
            <w:tcW w:w="236" w:type="dxa"/>
          </w:tcPr>
          <w:p w:rsidR="006B102A" w:rsidRPr="00512F8F" w:rsidRDefault="006B102A" w:rsidP="00157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e)</w:t>
            </w:r>
          </w:p>
        </w:tc>
        <w:tc>
          <w:tcPr>
            <w:tcW w:w="4192" w:type="dxa"/>
          </w:tcPr>
          <w:p w:rsidR="006B102A" w:rsidRDefault="006B102A" w:rsidP="006B1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Faaliyetlere başlanacak tarih</w:t>
            </w:r>
          </w:p>
        </w:tc>
        <w:tc>
          <w:tcPr>
            <w:tcW w:w="4500" w:type="dxa"/>
          </w:tcPr>
          <w:p w:rsidR="006B102A" w:rsidRPr="006B102A" w:rsidRDefault="006B102A" w:rsidP="00157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B102A">
              <w:rPr>
                <w:rFonts w:ascii="Times New Roman" w:hAnsi="Times New Roman"/>
                <w:sz w:val="24"/>
                <w:szCs w:val="24"/>
                <w:lang w:eastAsia="tr-TR"/>
              </w:rPr>
              <w:t>Kasım 2016</w:t>
            </w:r>
          </w:p>
        </w:tc>
      </w:tr>
    </w:tbl>
    <w:p w:rsidR="00005B55" w:rsidRDefault="00157CE1" w:rsidP="00157CE1">
      <w:pPr>
        <w:jc w:val="both"/>
        <w:rPr>
          <w:rFonts w:ascii="Times New Roman" w:hAnsi="Times New Roman"/>
          <w:sz w:val="24"/>
          <w:szCs w:val="24"/>
        </w:rPr>
      </w:pPr>
      <w:r w:rsidRPr="00512F8F">
        <w:rPr>
          <w:rFonts w:ascii="Times New Roman" w:hAnsi="Times New Roman"/>
          <w:sz w:val="24"/>
          <w:szCs w:val="24"/>
        </w:rPr>
        <w:t>⃰</w:t>
      </w:r>
      <w:r w:rsidR="00146BCD" w:rsidRPr="00512F8F">
        <w:rPr>
          <w:rFonts w:ascii="Times New Roman" w:hAnsi="Times New Roman"/>
          <w:sz w:val="24"/>
          <w:szCs w:val="24"/>
        </w:rPr>
        <w:t xml:space="preserve"> İndikatif</w:t>
      </w:r>
    </w:p>
    <w:p w:rsidR="006B102A" w:rsidRDefault="006B102A" w:rsidP="00157CE1">
      <w:pPr>
        <w:jc w:val="both"/>
        <w:rPr>
          <w:rFonts w:ascii="Times New Roman" w:hAnsi="Times New Roman"/>
          <w:sz w:val="24"/>
          <w:szCs w:val="24"/>
        </w:rPr>
      </w:pPr>
    </w:p>
    <w:p w:rsidR="0074299C" w:rsidRDefault="0074299C" w:rsidP="00157CE1">
      <w:pPr>
        <w:jc w:val="both"/>
        <w:rPr>
          <w:rFonts w:ascii="Times New Roman" w:hAnsi="Times New Roman"/>
          <w:sz w:val="24"/>
          <w:szCs w:val="24"/>
        </w:rPr>
      </w:pPr>
    </w:p>
    <w:p w:rsidR="0074299C" w:rsidRPr="00512F8F" w:rsidRDefault="0074299C" w:rsidP="00157CE1">
      <w:pPr>
        <w:jc w:val="both"/>
        <w:rPr>
          <w:rFonts w:ascii="Times New Roman" w:hAnsi="Times New Roman"/>
          <w:sz w:val="24"/>
          <w:szCs w:val="24"/>
        </w:rPr>
      </w:pPr>
    </w:p>
    <w:p w:rsidR="007F4D45" w:rsidRPr="00512F8F" w:rsidRDefault="00D12FDB" w:rsidP="00157CE1">
      <w:pPr>
        <w:jc w:val="both"/>
        <w:rPr>
          <w:rFonts w:ascii="Times New Roman" w:hAnsi="Times New Roman"/>
          <w:b/>
          <w:sz w:val="24"/>
          <w:szCs w:val="24"/>
        </w:rPr>
      </w:pPr>
      <w:r w:rsidRPr="00512F8F">
        <w:rPr>
          <w:rFonts w:ascii="Times New Roman" w:hAnsi="Times New Roman"/>
          <w:b/>
          <w:sz w:val="24"/>
          <w:szCs w:val="24"/>
        </w:rPr>
        <w:lastRenderedPageBreak/>
        <w:t>AB Finansmanı</w:t>
      </w:r>
    </w:p>
    <w:p w:rsidR="006B102A" w:rsidRPr="006B102A" w:rsidRDefault="006B102A" w:rsidP="008B7ECD">
      <w:pPr>
        <w:pStyle w:val="ListParagraph"/>
        <w:numPr>
          <w:ilvl w:val="0"/>
          <w:numId w:val="5"/>
        </w:numPr>
        <w:jc w:val="both"/>
      </w:pPr>
      <w:proofErr w:type="spellStart"/>
      <w:r w:rsidRPr="006B102A">
        <w:t>Projenin</w:t>
      </w:r>
      <w:proofErr w:type="spellEnd"/>
      <w:r w:rsidRPr="006B102A">
        <w:t xml:space="preserve"> </w:t>
      </w:r>
      <w:proofErr w:type="spellStart"/>
      <w:r w:rsidRPr="006B102A">
        <w:t>eş-finansmanı</w:t>
      </w:r>
      <w:proofErr w:type="spellEnd"/>
      <w:r w:rsidRPr="006B102A">
        <w:t xml:space="preserve"> </w:t>
      </w:r>
      <w:proofErr w:type="spellStart"/>
      <w:r w:rsidRPr="006B102A">
        <w:t>için</w:t>
      </w:r>
      <w:proofErr w:type="spellEnd"/>
      <w:r w:rsidRPr="006B102A">
        <w:t xml:space="preserve"> </w:t>
      </w:r>
      <w:proofErr w:type="spellStart"/>
      <w:r w:rsidRPr="006B102A">
        <w:t>ayrılan</w:t>
      </w:r>
      <w:proofErr w:type="spellEnd"/>
      <w:r w:rsidRPr="006B102A">
        <w:t xml:space="preserve"> </w:t>
      </w:r>
      <w:proofErr w:type="spellStart"/>
      <w:r w:rsidRPr="006B102A">
        <w:t>toplam</w:t>
      </w:r>
      <w:proofErr w:type="spellEnd"/>
      <w:r w:rsidRPr="006B102A">
        <w:t xml:space="preserve"> </w:t>
      </w:r>
      <w:proofErr w:type="spellStart"/>
      <w:r w:rsidRPr="006B102A">
        <w:t>bütçe</w:t>
      </w:r>
      <w:proofErr w:type="spellEnd"/>
      <w:r w:rsidRPr="006B102A">
        <w:t xml:space="preserve"> </w:t>
      </w:r>
      <w:proofErr w:type="spellStart"/>
      <w:r w:rsidRPr="006B102A">
        <w:t>tahmini</w:t>
      </w:r>
      <w:proofErr w:type="spellEnd"/>
      <w:r w:rsidRPr="006B102A">
        <w:t xml:space="preserve"> </w:t>
      </w:r>
      <w:proofErr w:type="spellStart"/>
      <w:r w:rsidRPr="006B102A">
        <w:t>olarak</w:t>
      </w:r>
      <w:proofErr w:type="spellEnd"/>
      <w:r w:rsidRPr="006B102A">
        <w:t xml:space="preserve"> 3,800,000.00 </w:t>
      </w:r>
      <w:proofErr w:type="spellStart"/>
      <w:r w:rsidRPr="006B102A">
        <w:t>Avro’dur</w:t>
      </w:r>
      <w:proofErr w:type="spellEnd"/>
      <w:r w:rsidRPr="006B102A">
        <w:t>.</w:t>
      </w:r>
    </w:p>
    <w:p w:rsidR="006B102A" w:rsidRPr="006B102A" w:rsidRDefault="006B102A" w:rsidP="006B102A">
      <w:pPr>
        <w:pStyle w:val="ListParagraph"/>
        <w:numPr>
          <w:ilvl w:val="0"/>
          <w:numId w:val="5"/>
        </w:numPr>
        <w:jc w:val="both"/>
      </w:pPr>
      <w:r w:rsidRPr="006B102A">
        <w:t xml:space="preserve">EASME </w:t>
      </w:r>
      <w:proofErr w:type="spellStart"/>
      <w:r w:rsidRPr="006B102A">
        <w:t>tarafından</w:t>
      </w:r>
      <w:proofErr w:type="spellEnd"/>
      <w:r w:rsidRPr="006B102A">
        <w:t xml:space="preserve"> 1 (</w:t>
      </w:r>
      <w:proofErr w:type="spellStart"/>
      <w:r w:rsidRPr="006B102A">
        <w:t>bir</w:t>
      </w:r>
      <w:proofErr w:type="spellEnd"/>
      <w:r w:rsidRPr="006B102A">
        <w:t xml:space="preserve">) </w:t>
      </w:r>
      <w:proofErr w:type="spellStart"/>
      <w:r w:rsidRPr="006B102A">
        <w:t>proje</w:t>
      </w:r>
      <w:proofErr w:type="spellEnd"/>
      <w:r w:rsidRPr="006B102A">
        <w:t xml:space="preserve"> </w:t>
      </w:r>
      <w:proofErr w:type="spellStart"/>
      <w:r w:rsidRPr="006B102A">
        <w:t>fonlanacaktır</w:t>
      </w:r>
      <w:proofErr w:type="spellEnd"/>
      <w:r w:rsidRPr="006B102A">
        <w:t>.</w:t>
      </w:r>
    </w:p>
    <w:p w:rsidR="008B7ECD" w:rsidRPr="006B102A" w:rsidRDefault="006B102A" w:rsidP="006B102A">
      <w:pPr>
        <w:pStyle w:val="ListParagraph"/>
        <w:numPr>
          <w:ilvl w:val="0"/>
          <w:numId w:val="5"/>
        </w:numPr>
        <w:jc w:val="both"/>
      </w:pPr>
      <w:proofErr w:type="spellStart"/>
      <w:r w:rsidRPr="006B102A">
        <w:t>Hibe</w:t>
      </w:r>
      <w:proofErr w:type="spellEnd"/>
      <w:r w:rsidRPr="006B102A">
        <w:t xml:space="preserve">, </w:t>
      </w:r>
      <w:proofErr w:type="spellStart"/>
      <w:r w:rsidRPr="006B102A">
        <w:t>uygun</w:t>
      </w:r>
      <w:proofErr w:type="spellEnd"/>
      <w:r w:rsidRPr="006B102A">
        <w:t xml:space="preserve"> </w:t>
      </w:r>
      <w:proofErr w:type="spellStart"/>
      <w:r w:rsidRPr="006B102A">
        <w:t>maliyetlerin</w:t>
      </w:r>
      <w:proofErr w:type="spellEnd"/>
      <w:r w:rsidRPr="006B102A">
        <w:t xml:space="preserve"> %75 </w:t>
      </w:r>
      <w:proofErr w:type="spellStart"/>
      <w:r w:rsidRPr="006B102A">
        <w:t>oranında</w:t>
      </w:r>
      <w:proofErr w:type="spellEnd"/>
      <w:r w:rsidRPr="006B102A">
        <w:t xml:space="preserve"> </w:t>
      </w:r>
      <w:proofErr w:type="spellStart"/>
      <w:r w:rsidRPr="006B102A">
        <w:t>maksimum</w:t>
      </w:r>
      <w:proofErr w:type="spellEnd"/>
      <w:r w:rsidRPr="006B102A">
        <w:t xml:space="preserve"> </w:t>
      </w:r>
      <w:proofErr w:type="spellStart"/>
      <w:r w:rsidRPr="006B102A">
        <w:t>geri</w:t>
      </w:r>
      <w:proofErr w:type="spellEnd"/>
      <w:r w:rsidRPr="006B102A">
        <w:t xml:space="preserve"> </w:t>
      </w:r>
      <w:proofErr w:type="spellStart"/>
      <w:r w:rsidRPr="006B102A">
        <w:t>ödeme</w:t>
      </w:r>
      <w:proofErr w:type="spellEnd"/>
      <w:r w:rsidRPr="006B102A">
        <w:t xml:space="preserve"> </w:t>
      </w:r>
      <w:proofErr w:type="spellStart"/>
      <w:r w:rsidRPr="006B102A">
        <w:t>oranı</w:t>
      </w:r>
      <w:proofErr w:type="spellEnd"/>
      <w:r w:rsidRPr="006B102A">
        <w:t xml:space="preserve"> </w:t>
      </w:r>
      <w:proofErr w:type="spellStart"/>
      <w:r w:rsidRPr="006B102A">
        <w:t>ile</w:t>
      </w:r>
      <w:proofErr w:type="spellEnd"/>
      <w:r w:rsidRPr="006B102A">
        <w:t xml:space="preserve"> </w:t>
      </w:r>
      <w:proofErr w:type="spellStart"/>
      <w:r w:rsidRPr="006B102A">
        <w:t>sınırlıdır</w:t>
      </w:r>
      <w:proofErr w:type="spellEnd"/>
      <w:r w:rsidRPr="006B102A">
        <w:t xml:space="preserve">. </w:t>
      </w:r>
    </w:p>
    <w:p w:rsidR="006B102A" w:rsidRPr="008B7ECD" w:rsidRDefault="006B102A" w:rsidP="006B102A">
      <w:pPr>
        <w:pStyle w:val="ListParagraph"/>
        <w:jc w:val="both"/>
      </w:pPr>
    </w:p>
    <w:p w:rsidR="003722DC" w:rsidRPr="00512F8F" w:rsidRDefault="003722DC" w:rsidP="00157CE1">
      <w:pPr>
        <w:spacing w:after="0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512F8F">
        <w:rPr>
          <w:rFonts w:ascii="Times New Roman" w:hAnsi="Times New Roman"/>
          <w:b/>
          <w:sz w:val="24"/>
          <w:szCs w:val="24"/>
          <w:lang w:eastAsia="tr-TR"/>
        </w:rPr>
        <w:t>Kriterler</w:t>
      </w:r>
    </w:p>
    <w:p w:rsidR="003722DC" w:rsidRPr="00512F8F" w:rsidRDefault="003722DC" w:rsidP="00157CE1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F6192" w:rsidRPr="00E83A26" w:rsidRDefault="003722DC" w:rsidP="00157CE1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E83A26">
        <w:rPr>
          <w:rFonts w:ascii="Times New Roman" w:hAnsi="Times New Roman"/>
          <w:sz w:val="24"/>
          <w:szCs w:val="24"/>
          <w:lang w:eastAsia="tr-TR"/>
        </w:rPr>
        <w:t xml:space="preserve">Çağrı kapsamında yapılacak başvurular tüzel kişilikler tarafından </w:t>
      </w:r>
      <w:r w:rsidR="000F6192" w:rsidRPr="00E83A26">
        <w:rPr>
          <w:rFonts w:ascii="Times New Roman" w:hAnsi="Times New Roman"/>
          <w:sz w:val="24"/>
          <w:szCs w:val="24"/>
          <w:lang w:eastAsia="tr-TR"/>
        </w:rPr>
        <w:t xml:space="preserve">oluşturulan bir konsorsiyum formunda olmalıdır. Başvuru sahipleri koordinatörü belirlenmiş şekilde bir konsorsiyum oluşturmalıdır. </w:t>
      </w:r>
    </w:p>
    <w:p w:rsidR="000F6192" w:rsidRPr="00E83A26" w:rsidRDefault="000F6192" w:rsidP="00157CE1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F6192" w:rsidRPr="00E83A26" w:rsidRDefault="000F6192" w:rsidP="00157CE1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E83A26">
        <w:rPr>
          <w:rFonts w:ascii="Times New Roman" w:hAnsi="Times New Roman"/>
          <w:sz w:val="24"/>
          <w:szCs w:val="24"/>
          <w:lang w:eastAsia="tr-TR"/>
        </w:rPr>
        <w:t>Uygun bir konsorsiyum aşağıdaki şartları taşımalıdır:</w:t>
      </w:r>
    </w:p>
    <w:p w:rsidR="000F6192" w:rsidRPr="00E83A26" w:rsidRDefault="000F6192" w:rsidP="000F6192">
      <w:pPr>
        <w:pStyle w:val="ListParagraph"/>
        <w:numPr>
          <w:ilvl w:val="0"/>
          <w:numId w:val="12"/>
        </w:numPr>
        <w:jc w:val="both"/>
        <w:rPr>
          <w:lang w:eastAsia="tr-TR"/>
        </w:rPr>
      </w:pPr>
      <w:proofErr w:type="spellStart"/>
      <w:r w:rsidRPr="00E83A26">
        <w:rPr>
          <w:lang w:eastAsia="tr-TR"/>
        </w:rPr>
        <w:t>Ödeme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gücü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olmaması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ve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ikinci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şans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konularında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çeşitli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uzmanlıklar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ve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bilgi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paylaşımını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teminen</w:t>
      </w:r>
      <w:proofErr w:type="spellEnd"/>
      <w:r w:rsidRPr="00E83A26">
        <w:rPr>
          <w:lang w:eastAsia="tr-TR"/>
        </w:rPr>
        <w:t xml:space="preserve"> </w:t>
      </w:r>
      <w:proofErr w:type="spellStart"/>
      <w:r w:rsidR="00E83A26" w:rsidRPr="00E83A26">
        <w:rPr>
          <w:lang w:eastAsia="tr-TR"/>
        </w:rPr>
        <w:t>K</w:t>
      </w:r>
      <w:r w:rsidRPr="00E83A26">
        <w:rPr>
          <w:lang w:eastAsia="tr-TR"/>
        </w:rPr>
        <w:t>amu</w:t>
      </w:r>
      <w:proofErr w:type="spellEnd"/>
      <w:r w:rsidRPr="00E83A26">
        <w:rPr>
          <w:lang w:eastAsia="tr-TR"/>
        </w:rPr>
        <w:t xml:space="preserve"> </w:t>
      </w:r>
      <w:proofErr w:type="spellStart"/>
      <w:r w:rsidR="00E83A26" w:rsidRPr="00E83A26">
        <w:rPr>
          <w:lang w:eastAsia="tr-TR"/>
        </w:rPr>
        <w:t>K</w:t>
      </w:r>
      <w:r w:rsidRPr="00E83A26">
        <w:rPr>
          <w:lang w:eastAsia="tr-TR"/>
        </w:rPr>
        <w:t>urumları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ve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özel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kuruluşlardan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oluşmalıdır</w:t>
      </w:r>
      <w:proofErr w:type="spellEnd"/>
      <w:r w:rsidRPr="00E83A26">
        <w:rPr>
          <w:lang w:eastAsia="tr-TR"/>
        </w:rPr>
        <w:t xml:space="preserve">. </w:t>
      </w:r>
    </w:p>
    <w:p w:rsidR="00E83A26" w:rsidRPr="00E83A26" w:rsidRDefault="00E83A26" w:rsidP="000F6192">
      <w:pPr>
        <w:pStyle w:val="ListParagraph"/>
        <w:numPr>
          <w:ilvl w:val="0"/>
          <w:numId w:val="13"/>
        </w:numPr>
        <w:jc w:val="both"/>
        <w:rPr>
          <w:lang w:eastAsia="tr-TR"/>
        </w:rPr>
      </w:pPr>
      <w:proofErr w:type="spellStart"/>
      <w:r w:rsidRPr="00E83A26">
        <w:rPr>
          <w:lang w:eastAsia="tr-TR"/>
        </w:rPr>
        <w:t>Ekonomik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ilişkiler</w:t>
      </w:r>
      <w:proofErr w:type="spellEnd"/>
      <w:r w:rsidRPr="00E83A26">
        <w:rPr>
          <w:lang w:eastAsia="tr-TR"/>
        </w:rPr>
        <w:t xml:space="preserve">, </w:t>
      </w:r>
      <w:proofErr w:type="spellStart"/>
      <w:r w:rsidRPr="00E83A26">
        <w:rPr>
          <w:lang w:eastAsia="tr-TR"/>
        </w:rPr>
        <w:t>işletme</w:t>
      </w:r>
      <w:proofErr w:type="spellEnd"/>
      <w:r w:rsidRPr="00E83A26">
        <w:rPr>
          <w:lang w:eastAsia="tr-TR"/>
        </w:rPr>
        <w:t xml:space="preserve">, </w:t>
      </w:r>
      <w:proofErr w:type="spellStart"/>
      <w:r w:rsidRPr="00E83A26">
        <w:rPr>
          <w:lang w:eastAsia="tr-TR"/>
        </w:rPr>
        <w:t>iş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desteği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ve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ilgili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konularla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alakalı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bir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alanda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faaliyet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gösteren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ya</w:t>
      </w:r>
      <w:proofErr w:type="spellEnd"/>
      <w:r w:rsidRPr="00E83A26">
        <w:rPr>
          <w:lang w:eastAsia="tr-TR"/>
        </w:rPr>
        <w:t xml:space="preserve"> da </w:t>
      </w:r>
      <w:proofErr w:type="spellStart"/>
      <w:r w:rsidRPr="00E83A26">
        <w:rPr>
          <w:lang w:eastAsia="tr-TR"/>
        </w:rPr>
        <w:t>sorumlu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Kamu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Kurumları</w:t>
      </w:r>
      <w:proofErr w:type="spellEnd"/>
      <w:r w:rsidRPr="00E83A26">
        <w:rPr>
          <w:lang w:eastAsia="tr-TR"/>
        </w:rPr>
        <w:t xml:space="preserve">, </w:t>
      </w:r>
      <w:proofErr w:type="spellStart"/>
      <w:r w:rsidRPr="00E83A26">
        <w:rPr>
          <w:lang w:eastAsia="tr-TR"/>
        </w:rPr>
        <w:t>Yerel</w:t>
      </w:r>
      <w:proofErr w:type="spellEnd"/>
      <w:r w:rsidRPr="00E83A26">
        <w:rPr>
          <w:lang w:eastAsia="tr-TR"/>
        </w:rPr>
        <w:t>/</w:t>
      </w:r>
      <w:proofErr w:type="spellStart"/>
      <w:r w:rsidRPr="00E83A26">
        <w:rPr>
          <w:lang w:eastAsia="tr-TR"/>
        </w:rPr>
        <w:t>Bölgesel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Merciler</w:t>
      </w:r>
      <w:proofErr w:type="spellEnd"/>
      <w:r w:rsidRPr="00E83A26">
        <w:rPr>
          <w:lang w:eastAsia="tr-TR"/>
        </w:rPr>
        <w:t xml:space="preserve">, </w:t>
      </w:r>
      <w:proofErr w:type="spellStart"/>
      <w:r w:rsidRPr="00E83A26">
        <w:rPr>
          <w:lang w:eastAsia="tr-TR"/>
        </w:rPr>
        <w:t>Resmi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Kurumlar</w:t>
      </w:r>
      <w:proofErr w:type="spellEnd"/>
      <w:r w:rsidRPr="00E83A26">
        <w:rPr>
          <w:lang w:eastAsia="tr-TR"/>
        </w:rPr>
        <w:t>,</w:t>
      </w:r>
    </w:p>
    <w:p w:rsidR="00E83A26" w:rsidRPr="00E83A26" w:rsidRDefault="00E83A26" w:rsidP="00E83A26">
      <w:pPr>
        <w:pStyle w:val="ListParagraph"/>
        <w:numPr>
          <w:ilvl w:val="0"/>
          <w:numId w:val="13"/>
        </w:numPr>
        <w:jc w:val="both"/>
        <w:rPr>
          <w:lang w:eastAsia="tr-TR"/>
        </w:rPr>
      </w:pPr>
      <w:proofErr w:type="spellStart"/>
      <w:r w:rsidRPr="00E83A26">
        <w:rPr>
          <w:lang w:eastAsia="tr-TR"/>
        </w:rPr>
        <w:t>Ticaret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ve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Sanayi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Odaları</w:t>
      </w:r>
      <w:proofErr w:type="spellEnd"/>
      <w:r w:rsidRPr="00E83A26">
        <w:rPr>
          <w:lang w:eastAsia="tr-TR"/>
        </w:rPr>
        <w:t xml:space="preserve">, </w:t>
      </w:r>
      <w:proofErr w:type="spellStart"/>
      <w:r w:rsidRPr="00E83A26">
        <w:rPr>
          <w:lang w:eastAsia="tr-TR"/>
        </w:rPr>
        <w:t>Sanatkarlar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Odaları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ve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benzeri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yapılar</w:t>
      </w:r>
      <w:proofErr w:type="spellEnd"/>
      <w:r w:rsidRPr="00E83A26">
        <w:rPr>
          <w:lang w:eastAsia="tr-TR"/>
        </w:rPr>
        <w:t>,</w:t>
      </w:r>
    </w:p>
    <w:p w:rsidR="00E83A26" w:rsidRPr="00E83A26" w:rsidRDefault="00E83A26" w:rsidP="00E83A26">
      <w:pPr>
        <w:pStyle w:val="ListParagraph"/>
        <w:numPr>
          <w:ilvl w:val="0"/>
          <w:numId w:val="13"/>
        </w:numPr>
        <w:jc w:val="both"/>
        <w:rPr>
          <w:lang w:eastAsia="tr-TR"/>
        </w:rPr>
      </w:pPr>
      <w:proofErr w:type="spellStart"/>
      <w:r w:rsidRPr="00E83A26">
        <w:rPr>
          <w:lang w:eastAsia="tr-TR"/>
        </w:rPr>
        <w:t>İş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Destek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Kuruluşları</w:t>
      </w:r>
      <w:proofErr w:type="spellEnd"/>
      <w:r w:rsidRPr="00E83A26">
        <w:rPr>
          <w:lang w:eastAsia="tr-TR"/>
        </w:rPr>
        <w:t>/</w:t>
      </w:r>
      <w:proofErr w:type="spellStart"/>
      <w:r w:rsidRPr="00E83A26">
        <w:rPr>
          <w:lang w:eastAsia="tr-TR"/>
        </w:rPr>
        <w:t>destek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sağlayıcılar</w:t>
      </w:r>
      <w:proofErr w:type="spellEnd"/>
      <w:r w:rsidRPr="00E83A26">
        <w:rPr>
          <w:lang w:eastAsia="tr-TR"/>
        </w:rPr>
        <w:t>,</w:t>
      </w:r>
    </w:p>
    <w:p w:rsidR="00E83A26" w:rsidRPr="00E83A26" w:rsidRDefault="00E83A26" w:rsidP="00E83A26">
      <w:pPr>
        <w:pStyle w:val="ListParagraph"/>
        <w:numPr>
          <w:ilvl w:val="0"/>
          <w:numId w:val="13"/>
        </w:numPr>
        <w:jc w:val="both"/>
        <w:rPr>
          <w:lang w:eastAsia="tr-TR"/>
        </w:rPr>
      </w:pPr>
      <w:proofErr w:type="spellStart"/>
      <w:r w:rsidRPr="00E83A26">
        <w:rPr>
          <w:lang w:eastAsia="tr-TR"/>
        </w:rPr>
        <w:t>İş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Dernekleri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ve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İş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Destek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Ağları</w:t>
      </w:r>
      <w:proofErr w:type="spellEnd"/>
      <w:r w:rsidRPr="00E83A26">
        <w:rPr>
          <w:lang w:eastAsia="tr-TR"/>
        </w:rPr>
        <w:t>,</w:t>
      </w:r>
    </w:p>
    <w:p w:rsidR="00E83A26" w:rsidRPr="00E83A26" w:rsidRDefault="00E83A26" w:rsidP="00E83A26">
      <w:pPr>
        <w:pStyle w:val="ListParagraph"/>
        <w:numPr>
          <w:ilvl w:val="0"/>
          <w:numId w:val="13"/>
        </w:numPr>
        <w:jc w:val="both"/>
        <w:rPr>
          <w:lang w:eastAsia="tr-TR"/>
        </w:rPr>
      </w:pPr>
      <w:proofErr w:type="spellStart"/>
      <w:r w:rsidRPr="00E83A26">
        <w:rPr>
          <w:lang w:eastAsia="tr-TR"/>
        </w:rPr>
        <w:t>Eğitim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ve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öğretim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sağlayıcılar</w:t>
      </w:r>
      <w:proofErr w:type="spellEnd"/>
      <w:r w:rsidRPr="00E83A26">
        <w:rPr>
          <w:lang w:eastAsia="tr-TR"/>
        </w:rPr>
        <w:t>.</w:t>
      </w:r>
    </w:p>
    <w:p w:rsidR="00E83A26" w:rsidRDefault="00E83A26" w:rsidP="00E83A26">
      <w:pPr>
        <w:pStyle w:val="ListParagraph"/>
        <w:numPr>
          <w:ilvl w:val="0"/>
          <w:numId w:val="12"/>
        </w:numPr>
        <w:jc w:val="both"/>
        <w:rPr>
          <w:lang w:eastAsia="tr-TR"/>
        </w:rPr>
      </w:pPr>
      <w:proofErr w:type="spellStart"/>
      <w:r w:rsidRPr="00E83A26">
        <w:rPr>
          <w:lang w:eastAsia="tr-TR"/>
        </w:rPr>
        <w:t>En</w:t>
      </w:r>
      <w:proofErr w:type="spellEnd"/>
      <w:r w:rsidRPr="00E83A26">
        <w:rPr>
          <w:lang w:eastAsia="tr-TR"/>
        </w:rPr>
        <w:t xml:space="preserve"> </w:t>
      </w:r>
      <w:proofErr w:type="spellStart"/>
      <w:proofErr w:type="gramStart"/>
      <w:r w:rsidRPr="00E83A26">
        <w:rPr>
          <w:lang w:eastAsia="tr-TR"/>
        </w:rPr>
        <w:t>az</w:t>
      </w:r>
      <w:proofErr w:type="spellEnd"/>
      <w:proofErr w:type="gramEnd"/>
      <w:r w:rsidRPr="00E83A26">
        <w:rPr>
          <w:lang w:eastAsia="tr-TR"/>
        </w:rPr>
        <w:t xml:space="preserve"> 7 </w:t>
      </w:r>
      <w:proofErr w:type="spellStart"/>
      <w:r w:rsidRPr="00E83A26">
        <w:rPr>
          <w:lang w:eastAsia="tr-TR"/>
        </w:rPr>
        <w:t>farklı</w:t>
      </w:r>
      <w:proofErr w:type="spellEnd"/>
      <w:r w:rsidRPr="00E83A26">
        <w:rPr>
          <w:lang w:eastAsia="tr-TR"/>
        </w:rPr>
        <w:t xml:space="preserve"> COSME </w:t>
      </w:r>
      <w:proofErr w:type="spellStart"/>
      <w:r w:rsidRPr="00E83A26">
        <w:rPr>
          <w:lang w:eastAsia="tr-TR"/>
        </w:rPr>
        <w:t>katılımcısı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ülkeden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en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az</w:t>
      </w:r>
      <w:proofErr w:type="spellEnd"/>
      <w:r w:rsidRPr="00E83A26">
        <w:rPr>
          <w:lang w:eastAsia="tr-TR"/>
        </w:rPr>
        <w:t xml:space="preserve"> 7 </w:t>
      </w:r>
      <w:proofErr w:type="spellStart"/>
      <w:r w:rsidRPr="00E83A26">
        <w:rPr>
          <w:lang w:eastAsia="tr-TR"/>
        </w:rPr>
        <w:t>uygun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kuruluştan</w:t>
      </w:r>
      <w:proofErr w:type="spellEnd"/>
      <w:r w:rsidRPr="00E83A26">
        <w:rPr>
          <w:lang w:eastAsia="tr-TR"/>
        </w:rPr>
        <w:t xml:space="preserve"> </w:t>
      </w:r>
      <w:proofErr w:type="spellStart"/>
      <w:r w:rsidRPr="00E83A26">
        <w:rPr>
          <w:lang w:eastAsia="tr-TR"/>
        </w:rPr>
        <w:t>oluşmalıdır</w:t>
      </w:r>
      <w:proofErr w:type="spellEnd"/>
      <w:r w:rsidRPr="00E83A26">
        <w:rPr>
          <w:lang w:eastAsia="tr-TR"/>
        </w:rPr>
        <w:t xml:space="preserve">. </w:t>
      </w:r>
    </w:p>
    <w:p w:rsidR="00E83A26" w:rsidRDefault="00E83A26" w:rsidP="00E83A26">
      <w:pPr>
        <w:pStyle w:val="ListParagraph"/>
        <w:numPr>
          <w:ilvl w:val="0"/>
          <w:numId w:val="12"/>
        </w:numPr>
        <w:jc w:val="both"/>
        <w:rPr>
          <w:lang w:eastAsia="tr-TR"/>
        </w:rPr>
      </w:pPr>
      <w:proofErr w:type="spellStart"/>
      <w:r>
        <w:rPr>
          <w:lang w:eastAsia="tr-TR"/>
        </w:rPr>
        <w:t>KOBİ’ler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ya</w:t>
      </w:r>
      <w:proofErr w:type="spellEnd"/>
      <w:r>
        <w:rPr>
          <w:lang w:eastAsia="tr-TR"/>
        </w:rPr>
        <w:t xml:space="preserve"> da </w:t>
      </w:r>
      <w:proofErr w:type="spellStart"/>
      <w:r>
        <w:rPr>
          <w:lang w:eastAsia="tr-TR"/>
        </w:rPr>
        <w:t>girişimciler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ile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ilgili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en</w:t>
      </w:r>
      <w:proofErr w:type="spellEnd"/>
      <w:r>
        <w:rPr>
          <w:lang w:eastAsia="tr-TR"/>
        </w:rPr>
        <w:t xml:space="preserve"> </w:t>
      </w:r>
      <w:proofErr w:type="spellStart"/>
      <w:proofErr w:type="gramStart"/>
      <w:r>
        <w:rPr>
          <w:lang w:eastAsia="tr-TR"/>
        </w:rPr>
        <w:t>az</w:t>
      </w:r>
      <w:proofErr w:type="spellEnd"/>
      <w:proofErr w:type="gram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bir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Kamu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Kurumu</w:t>
      </w:r>
      <w:proofErr w:type="spellEnd"/>
      <w:r>
        <w:rPr>
          <w:lang w:eastAsia="tr-TR"/>
        </w:rPr>
        <w:t xml:space="preserve"> (</w:t>
      </w:r>
      <w:proofErr w:type="spellStart"/>
      <w:r>
        <w:rPr>
          <w:lang w:eastAsia="tr-TR"/>
        </w:rPr>
        <w:t>ulusal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bölgesel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veya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yerel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düzeyde</w:t>
      </w:r>
      <w:proofErr w:type="spellEnd"/>
      <w:r>
        <w:rPr>
          <w:lang w:eastAsia="tr-TR"/>
        </w:rPr>
        <w:t xml:space="preserve">)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az</w:t>
      </w:r>
      <w:proofErr w:type="spellEnd"/>
      <w:r>
        <w:rPr>
          <w:lang w:eastAsia="tr-TR"/>
        </w:rPr>
        <w:t xml:space="preserve"> 3 KOBİ </w:t>
      </w:r>
      <w:proofErr w:type="spellStart"/>
      <w:r>
        <w:rPr>
          <w:lang w:eastAsia="tr-TR"/>
        </w:rPr>
        <w:t>Birlikleri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ya</w:t>
      </w:r>
      <w:proofErr w:type="spellEnd"/>
      <w:r>
        <w:rPr>
          <w:lang w:eastAsia="tr-TR"/>
        </w:rPr>
        <w:t xml:space="preserve"> da </w:t>
      </w:r>
      <w:proofErr w:type="spellStart"/>
      <w:r>
        <w:rPr>
          <w:lang w:eastAsia="tr-TR"/>
        </w:rPr>
        <w:t>Ticaret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Sanayi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Odaları</w:t>
      </w:r>
      <w:proofErr w:type="spellEnd"/>
      <w:r>
        <w:rPr>
          <w:lang w:eastAsia="tr-TR"/>
        </w:rPr>
        <w:t xml:space="preserve"> (</w:t>
      </w:r>
      <w:proofErr w:type="spellStart"/>
      <w:r>
        <w:rPr>
          <w:lang w:eastAsia="tr-TR"/>
        </w:rPr>
        <w:t>ulusal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bölgesel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yerel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Avrupa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uluslararası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düzeyde</w:t>
      </w:r>
      <w:proofErr w:type="spellEnd"/>
      <w:r>
        <w:rPr>
          <w:lang w:eastAsia="tr-TR"/>
        </w:rPr>
        <w:t xml:space="preserve">) </w:t>
      </w:r>
      <w:proofErr w:type="spellStart"/>
      <w:r>
        <w:rPr>
          <w:lang w:eastAsia="tr-TR"/>
        </w:rPr>
        <w:t>yer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almalıdır</w:t>
      </w:r>
      <w:proofErr w:type="spellEnd"/>
      <w:r>
        <w:rPr>
          <w:lang w:eastAsia="tr-TR"/>
        </w:rPr>
        <w:t>.</w:t>
      </w:r>
    </w:p>
    <w:p w:rsidR="00E83A26" w:rsidRPr="00E83A26" w:rsidRDefault="00E83A26" w:rsidP="00E83A26">
      <w:pPr>
        <w:spacing w:after="0" w:line="240" w:lineRule="auto"/>
        <w:jc w:val="both"/>
        <w:rPr>
          <w:rFonts w:ascii="Times New Roman" w:hAnsi="Times New Roman"/>
          <w:sz w:val="24"/>
          <w:lang w:eastAsia="tr-TR"/>
        </w:rPr>
      </w:pPr>
    </w:p>
    <w:p w:rsidR="008B7ECD" w:rsidRPr="0074299C" w:rsidRDefault="006F1442" w:rsidP="0074299C">
      <w:pPr>
        <w:spacing w:before="10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12F8F">
        <w:rPr>
          <w:rFonts w:ascii="Times New Roman" w:hAnsi="Times New Roman"/>
          <w:b/>
          <w:bCs/>
          <w:sz w:val="24"/>
          <w:szCs w:val="24"/>
        </w:rPr>
        <w:t>İlgili Dokümanlar</w:t>
      </w:r>
    </w:p>
    <w:p w:rsidR="008B7ECD" w:rsidRPr="0074299C" w:rsidRDefault="008B7ECD" w:rsidP="00742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1442" w:rsidRPr="0074299C" w:rsidRDefault="001777B0" w:rsidP="0074299C">
      <w:pPr>
        <w:pStyle w:val="ListParagraph"/>
        <w:numPr>
          <w:ilvl w:val="0"/>
          <w:numId w:val="9"/>
        </w:numPr>
        <w:spacing w:before="100"/>
        <w:jc w:val="both"/>
        <w:rPr>
          <w:b/>
          <w:bCs/>
        </w:rPr>
      </w:pPr>
      <w:hyperlink r:id="rId9" w:tgtFrame="_blank" w:history="1">
        <w:r w:rsidR="006F1442" w:rsidRPr="0074299C">
          <w:t>Çağrı Metni</w:t>
        </w:r>
      </w:hyperlink>
      <w:r w:rsidR="006F1442" w:rsidRPr="0074299C">
        <w:t>:</w:t>
      </w:r>
    </w:p>
    <w:p w:rsidR="0074299C" w:rsidRPr="0074299C" w:rsidRDefault="001777B0" w:rsidP="0074299C">
      <w:pPr>
        <w:pStyle w:val="ListParagraph"/>
        <w:jc w:val="both"/>
        <w:rPr>
          <w:rFonts w:eastAsia="Calibri"/>
          <w:color w:val="FF0000"/>
          <w:lang w:val="tr-TR"/>
        </w:rPr>
      </w:pPr>
      <w:hyperlink r:id="rId10" w:history="1">
        <w:r w:rsidR="0074299C" w:rsidRPr="0074299C">
          <w:rPr>
            <w:rStyle w:val="Hyperlink"/>
            <w:rFonts w:eastAsia="Calibri"/>
            <w:lang w:val="tr-TR"/>
          </w:rPr>
          <w:t>https://ec.europa.eu/easme/sites/easme-site/files/documents/call_text_eweu_2016.pdf</w:t>
        </w:r>
      </w:hyperlink>
    </w:p>
    <w:p w:rsidR="0074299C" w:rsidRPr="0074299C" w:rsidRDefault="0074299C" w:rsidP="0074299C">
      <w:pPr>
        <w:pStyle w:val="ListParagraph"/>
        <w:jc w:val="both"/>
        <w:rPr>
          <w:color w:val="FF0000"/>
          <w:lang w:val="tr-TR"/>
        </w:rPr>
      </w:pPr>
    </w:p>
    <w:p w:rsidR="006F1442" w:rsidRPr="0074299C" w:rsidRDefault="00157CE1" w:rsidP="008B7ECD">
      <w:pPr>
        <w:pStyle w:val="ListParagraph"/>
        <w:numPr>
          <w:ilvl w:val="0"/>
          <w:numId w:val="9"/>
        </w:numPr>
        <w:jc w:val="both"/>
        <w:rPr>
          <w:u w:val="single"/>
        </w:rPr>
      </w:pPr>
      <w:r w:rsidRPr="0074299C">
        <w:rPr>
          <w:rStyle w:val="translation-chunk"/>
          <w:shd w:val="clear" w:color="auto" w:fill="FFFFFF"/>
          <w:lang w:val="tr-TR"/>
        </w:rPr>
        <w:t>Elektronik Başvuru</w:t>
      </w:r>
      <w:r w:rsidR="0074299C" w:rsidRPr="0074299C">
        <w:rPr>
          <w:rStyle w:val="translation-chunk"/>
          <w:shd w:val="clear" w:color="auto" w:fill="FFFFFF"/>
          <w:lang w:val="tr-TR"/>
        </w:rPr>
        <w:t>lar için aşağıdaki linkte yer alan prosedür takip edilmelidir:</w:t>
      </w:r>
    </w:p>
    <w:p w:rsidR="0074299C" w:rsidRPr="0074299C" w:rsidRDefault="001777B0" w:rsidP="0074299C">
      <w:pPr>
        <w:pStyle w:val="ListParagraph"/>
        <w:jc w:val="both"/>
        <w:rPr>
          <w:rFonts w:eastAsia="Calibri"/>
          <w:color w:val="FF0000"/>
          <w:lang w:val="tr-TR"/>
        </w:rPr>
      </w:pPr>
      <w:hyperlink r:id="rId11" w:history="1">
        <w:r w:rsidR="0074299C" w:rsidRPr="0074299C">
          <w:rPr>
            <w:rStyle w:val="Hyperlink"/>
            <w:rFonts w:eastAsia="Calibri"/>
            <w:lang w:val="tr-TR"/>
          </w:rPr>
          <w:t>http://ec.europa.eu/easme/en/cosme-eu-programme-competitiveness-enterprises-and-small-and-medium-sized-enterprises-smes</w:t>
        </w:r>
      </w:hyperlink>
      <w:r w:rsidR="0074299C" w:rsidRPr="0074299C">
        <w:rPr>
          <w:rFonts w:eastAsia="Calibri"/>
          <w:color w:val="FF0000"/>
          <w:lang w:val="tr-TR"/>
        </w:rPr>
        <w:t xml:space="preserve"> </w:t>
      </w:r>
    </w:p>
    <w:p w:rsidR="0074299C" w:rsidRPr="0074299C" w:rsidRDefault="0074299C" w:rsidP="0074299C">
      <w:pPr>
        <w:pStyle w:val="ListParagraph"/>
        <w:jc w:val="both"/>
        <w:rPr>
          <w:rFonts w:eastAsia="Calibri"/>
          <w:color w:val="FF0000"/>
          <w:lang w:val="tr-TR"/>
        </w:rPr>
      </w:pPr>
    </w:p>
    <w:p w:rsidR="00157CE1" w:rsidRPr="0074299C" w:rsidRDefault="0074299C" w:rsidP="0074299C">
      <w:pPr>
        <w:pStyle w:val="ListParagraph"/>
        <w:numPr>
          <w:ilvl w:val="0"/>
          <w:numId w:val="9"/>
        </w:numPr>
        <w:jc w:val="both"/>
      </w:pPr>
      <w:proofErr w:type="spellStart"/>
      <w:r w:rsidRPr="0074299C">
        <w:t>Soru</w:t>
      </w:r>
      <w:proofErr w:type="spellEnd"/>
      <w:r w:rsidRPr="0074299C">
        <w:t>/</w:t>
      </w:r>
      <w:proofErr w:type="spellStart"/>
      <w:r w:rsidRPr="0074299C">
        <w:t>C</w:t>
      </w:r>
      <w:r w:rsidR="00157CE1" w:rsidRPr="0074299C">
        <w:t>evap</w:t>
      </w:r>
      <w:proofErr w:type="spellEnd"/>
    </w:p>
    <w:p w:rsidR="007F4D45" w:rsidRPr="0074299C" w:rsidRDefault="0074299C" w:rsidP="00157CE1">
      <w:pPr>
        <w:rPr>
          <w:rFonts w:ascii="Times New Roman" w:hAnsi="Times New Roman"/>
          <w:sz w:val="24"/>
          <w:szCs w:val="24"/>
        </w:rPr>
      </w:pPr>
      <w:r w:rsidRPr="0074299C">
        <w:rPr>
          <w:rFonts w:ascii="Times New Roman" w:hAnsi="Times New Roman"/>
          <w:color w:val="FF0000"/>
          <w:sz w:val="24"/>
          <w:szCs w:val="24"/>
        </w:rPr>
        <w:tab/>
      </w:r>
      <w:hyperlink r:id="rId12" w:history="1">
        <w:r w:rsidRPr="0074299C">
          <w:rPr>
            <w:rStyle w:val="Hyperlink"/>
            <w:rFonts w:ascii="Times New Roman" w:hAnsi="Times New Roman"/>
            <w:sz w:val="24"/>
            <w:szCs w:val="24"/>
          </w:rPr>
          <w:t>EASME-COSME-EWEU-CALL-2016@ec.europa.eu</w:t>
        </w:r>
      </w:hyperlink>
      <w:r w:rsidRPr="0074299C">
        <w:rPr>
          <w:rFonts w:ascii="Times New Roman" w:hAnsi="Times New Roman"/>
          <w:sz w:val="24"/>
          <w:szCs w:val="24"/>
        </w:rPr>
        <w:t xml:space="preserve"> adresine e-posta yolu ile iletilen sorulara ilişkin cevaplar </w:t>
      </w:r>
      <w:hyperlink r:id="rId13" w:history="1">
        <w:r w:rsidRPr="0074299C">
          <w:rPr>
            <w:rStyle w:val="Hyperlink"/>
            <w:rFonts w:ascii="Times New Roman" w:hAnsi="Times New Roman"/>
            <w:sz w:val="24"/>
            <w:szCs w:val="24"/>
          </w:rPr>
          <w:t>https://ec.europa.eu/easme/</w:t>
        </w:r>
      </w:hyperlink>
      <w:r w:rsidRPr="0074299C">
        <w:rPr>
          <w:rFonts w:ascii="Times New Roman" w:hAnsi="Times New Roman"/>
          <w:sz w:val="24"/>
          <w:szCs w:val="24"/>
        </w:rPr>
        <w:t xml:space="preserve"> sayfasında yayımlanacaktır. </w:t>
      </w:r>
    </w:p>
    <w:sectPr w:rsidR="007F4D45" w:rsidRPr="0074299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B0" w:rsidRDefault="001777B0" w:rsidP="0081558A">
      <w:pPr>
        <w:spacing w:after="0" w:line="240" w:lineRule="auto"/>
      </w:pPr>
      <w:r>
        <w:separator/>
      </w:r>
    </w:p>
  </w:endnote>
  <w:endnote w:type="continuationSeparator" w:id="0">
    <w:p w:rsidR="001777B0" w:rsidRDefault="001777B0" w:rsidP="0081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53385"/>
      <w:docPartObj>
        <w:docPartGallery w:val="Page Numbers (Bottom of Page)"/>
        <w:docPartUnique/>
      </w:docPartObj>
    </w:sdtPr>
    <w:sdtEndPr/>
    <w:sdtContent>
      <w:p w:rsidR="0081558A" w:rsidRDefault="0081558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9AC">
          <w:rPr>
            <w:noProof/>
          </w:rPr>
          <w:t>3</w:t>
        </w:r>
        <w:r>
          <w:fldChar w:fldCharType="end"/>
        </w:r>
      </w:p>
    </w:sdtContent>
  </w:sdt>
  <w:p w:rsidR="0081558A" w:rsidRDefault="00815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B0" w:rsidRDefault="001777B0" w:rsidP="0081558A">
      <w:pPr>
        <w:spacing w:after="0" w:line="240" w:lineRule="auto"/>
      </w:pPr>
      <w:r>
        <w:separator/>
      </w:r>
    </w:p>
  </w:footnote>
  <w:footnote w:type="continuationSeparator" w:id="0">
    <w:p w:rsidR="001777B0" w:rsidRDefault="001777B0" w:rsidP="00815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7CF"/>
    <w:multiLevelType w:val="hybridMultilevel"/>
    <w:tmpl w:val="31CE0EC4"/>
    <w:lvl w:ilvl="0" w:tplc="6FEC346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22BD"/>
    <w:multiLevelType w:val="hybridMultilevel"/>
    <w:tmpl w:val="AC5A6A3A"/>
    <w:lvl w:ilvl="0" w:tplc="B25E5C46">
      <w:start w:val="2016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0760CC2"/>
    <w:multiLevelType w:val="hybridMultilevel"/>
    <w:tmpl w:val="FEFE0C26"/>
    <w:lvl w:ilvl="0" w:tplc="8B1054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C0D2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D09C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1CFF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A0D3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38B0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2471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069C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9CBA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E0812D1"/>
    <w:multiLevelType w:val="hybridMultilevel"/>
    <w:tmpl w:val="C910FDA4"/>
    <w:lvl w:ilvl="0" w:tplc="04B4EA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16EA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96F4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C2BB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5244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E279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9245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00E4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76E3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2163EBB"/>
    <w:multiLevelType w:val="hybridMultilevel"/>
    <w:tmpl w:val="0B4819BA"/>
    <w:lvl w:ilvl="0" w:tplc="3B581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B1B57"/>
    <w:multiLevelType w:val="hybridMultilevel"/>
    <w:tmpl w:val="FEC8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169D3"/>
    <w:multiLevelType w:val="hybridMultilevel"/>
    <w:tmpl w:val="84844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E01C0"/>
    <w:multiLevelType w:val="hybridMultilevel"/>
    <w:tmpl w:val="98D255BC"/>
    <w:lvl w:ilvl="0" w:tplc="6FEC3466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F141205"/>
    <w:multiLevelType w:val="hybridMultilevel"/>
    <w:tmpl w:val="1CD0E1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F2C96"/>
    <w:multiLevelType w:val="hybridMultilevel"/>
    <w:tmpl w:val="4E22CCEE"/>
    <w:lvl w:ilvl="0" w:tplc="6FEC346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DE00578"/>
    <w:multiLevelType w:val="hybridMultilevel"/>
    <w:tmpl w:val="93244184"/>
    <w:lvl w:ilvl="0" w:tplc="C91011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F0EB9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9A71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578BB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215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1251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4EE7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1850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72EE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4CD2009"/>
    <w:multiLevelType w:val="hybridMultilevel"/>
    <w:tmpl w:val="3E129B68"/>
    <w:lvl w:ilvl="0" w:tplc="041F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4EE0D7F"/>
    <w:multiLevelType w:val="multilevel"/>
    <w:tmpl w:val="E764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6C"/>
    <w:rsid w:val="00005B55"/>
    <w:rsid w:val="00016BD9"/>
    <w:rsid w:val="000F6192"/>
    <w:rsid w:val="001256C5"/>
    <w:rsid w:val="0013176C"/>
    <w:rsid w:val="00146BCD"/>
    <w:rsid w:val="00157CE1"/>
    <w:rsid w:val="001777B0"/>
    <w:rsid w:val="001A692D"/>
    <w:rsid w:val="001C0754"/>
    <w:rsid w:val="001C731E"/>
    <w:rsid w:val="002B1B3D"/>
    <w:rsid w:val="002B5CDF"/>
    <w:rsid w:val="003722DC"/>
    <w:rsid w:val="003B62A1"/>
    <w:rsid w:val="00472D46"/>
    <w:rsid w:val="004B37C8"/>
    <w:rsid w:val="004F3977"/>
    <w:rsid w:val="004F6789"/>
    <w:rsid w:val="00512F8F"/>
    <w:rsid w:val="005146FA"/>
    <w:rsid w:val="00664D5F"/>
    <w:rsid w:val="006869AC"/>
    <w:rsid w:val="006B102A"/>
    <w:rsid w:val="006F1442"/>
    <w:rsid w:val="007076CC"/>
    <w:rsid w:val="0071129A"/>
    <w:rsid w:val="00713F18"/>
    <w:rsid w:val="0074299C"/>
    <w:rsid w:val="00771CEA"/>
    <w:rsid w:val="00787EE1"/>
    <w:rsid w:val="007B5F4D"/>
    <w:rsid w:val="007D0410"/>
    <w:rsid w:val="007E72B2"/>
    <w:rsid w:val="007F4D45"/>
    <w:rsid w:val="007F4F55"/>
    <w:rsid w:val="0081558A"/>
    <w:rsid w:val="008557E2"/>
    <w:rsid w:val="008B7ECD"/>
    <w:rsid w:val="008F4D86"/>
    <w:rsid w:val="009D20AA"/>
    <w:rsid w:val="00B2161C"/>
    <w:rsid w:val="00B21A1B"/>
    <w:rsid w:val="00B24C0E"/>
    <w:rsid w:val="00B62F43"/>
    <w:rsid w:val="00D12FDB"/>
    <w:rsid w:val="00D804CC"/>
    <w:rsid w:val="00E37E8D"/>
    <w:rsid w:val="00E83A26"/>
    <w:rsid w:val="00E87613"/>
    <w:rsid w:val="00ED452A"/>
    <w:rsid w:val="00EE377E"/>
    <w:rsid w:val="00FA016C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73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ralkYok1">
    <w:name w:val="Aralık Yok1"/>
    <w:uiPriority w:val="99"/>
    <w:rsid w:val="001C73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rsid w:val="007F4D45"/>
    <w:rPr>
      <w:rFonts w:cs="Times New Roman"/>
      <w:color w:val="0000FF"/>
      <w:u w:val="single"/>
    </w:rPr>
  </w:style>
  <w:style w:type="character" w:customStyle="1" w:styleId="translation-chunk">
    <w:name w:val="translation-chunk"/>
    <w:basedOn w:val="DefaultParagraphFont"/>
    <w:rsid w:val="006F1442"/>
  </w:style>
  <w:style w:type="paragraph" w:styleId="Header">
    <w:name w:val="header"/>
    <w:basedOn w:val="Normal"/>
    <w:link w:val="HeaderChar"/>
    <w:uiPriority w:val="99"/>
    <w:unhideWhenUsed/>
    <w:rsid w:val="0081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73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ralkYok1">
    <w:name w:val="Aralık Yok1"/>
    <w:uiPriority w:val="99"/>
    <w:rsid w:val="001C73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rsid w:val="007F4D45"/>
    <w:rPr>
      <w:rFonts w:cs="Times New Roman"/>
      <w:color w:val="0000FF"/>
      <w:u w:val="single"/>
    </w:rPr>
  </w:style>
  <w:style w:type="character" w:customStyle="1" w:styleId="translation-chunk">
    <w:name w:val="translation-chunk"/>
    <w:basedOn w:val="DefaultParagraphFont"/>
    <w:rsid w:val="006F1442"/>
  </w:style>
  <w:style w:type="paragraph" w:styleId="Header">
    <w:name w:val="header"/>
    <w:basedOn w:val="Normal"/>
    <w:link w:val="HeaderChar"/>
    <w:uiPriority w:val="99"/>
    <w:unhideWhenUsed/>
    <w:rsid w:val="0081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.europa.eu/easm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ASME-COSME-EWEU-CALL-2016@ec.europ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asme/en/cosme-eu-programme-competitiveness-enterprises-and-small-and-medium-sized-enterprises-sm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asme/sites/easme-site/files/documents/call_text_eweu_20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asme/files/eye/erasmus-for-young-entrepreneurs-call-for-proposals-20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643C-0D7E-449D-A69C-A403B209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Aslan</dc:creator>
  <cp:lastModifiedBy>Güner Özdemir</cp:lastModifiedBy>
  <cp:revision>2</cp:revision>
  <cp:lastPrinted>2016-03-29T08:27:00Z</cp:lastPrinted>
  <dcterms:created xsi:type="dcterms:W3CDTF">2016-04-05T08:43:00Z</dcterms:created>
  <dcterms:modified xsi:type="dcterms:W3CDTF">2016-04-05T08:43:00Z</dcterms:modified>
</cp:coreProperties>
</file>