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8A" w:rsidRPr="00583832" w:rsidRDefault="00AB4B8A" w:rsidP="00AB4B8A">
      <w:pPr>
        <w:jc w:val="center"/>
        <w:rPr>
          <w:b/>
          <w:bCs/>
          <w:color w:val="000000"/>
        </w:rPr>
      </w:pPr>
      <w:bookmarkStart w:id="0" w:name="_GoBack"/>
      <w:bookmarkEnd w:id="0"/>
      <w:r w:rsidRPr="00583832">
        <w:rPr>
          <w:b/>
          <w:bCs/>
          <w:color w:val="000000"/>
        </w:rPr>
        <w:t>2010/6 SAYILI “</w:t>
      </w:r>
      <w:r w:rsidRPr="00583832">
        <w:rPr>
          <w:b/>
        </w:rPr>
        <w:t>YURT DIŞI BİRİM, MARKA VE TANITIM FAALİYETLERİNİN DESTEKLENMESİ HAKKINDA TEBLİĞ”İN UYGULAMA USUL VE ESASLARI GENELGESİNE</w:t>
      </w:r>
      <w:r w:rsidRPr="00583832">
        <w:rPr>
          <w:b/>
          <w:bCs/>
          <w:color w:val="000000"/>
        </w:rPr>
        <w:t xml:space="preserve"> İLİŞKİN </w:t>
      </w:r>
      <w:r w:rsidR="006631E7">
        <w:rPr>
          <w:b/>
          <w:bCs/>
          <w:color w:val="000000"/>
        </w:rPr>
        <w:t>KARŞILAŞTIRMA</w:t>
      </w:r>
      <w:r w:rsidRPr="00583832">
        <w:rPr>
          <w:b/>
          <w:bCs/>
          <w:color w:val="000000"/>
        </w:rPr>
        <w:t xml:space="preserve"> TABLOSU</w:t>
      </w:r>
    </w:p>
    <w:tbl>
      <w:tblPr>
        <w:tblStyle w:val="TabloKlavuzu"/>
        <w:tblpPr w:leftFromText="141" w:rightFromText="141" w:vertAnchor="text" w:horzAnchor="margin" w:tblpY="118"/>
        <w:tblW w:w="14170" w:type="dxa"/>
        <w:tblLayout w:type="fixed"/>
        <w:tblLook w:val="04A0" w:firstRow="1" w:lastRow="0" w:firstColumn="1" w:lastColumn="0" w:noHBand="0" w:noVBand="1"/>
      </w:tblPr>
      <w:tblGrid>
        <w:gridCol w:w="6941"/>
        <w:gridCol w:w="7229"/>
      </w:tblGrid>
      <w:tr w:rsidR="00AA35D7" w:rsidRPr="00583832" w:rsidTr="00AA35D7">
        <w:tc>
          <w:tcPr>
            <w:tcW w:w="6941" w:type="dxa"/>
          </w:tcPr>
          <w:p w:rsidR="00AA35D7" w:rsidRPr="00583832" w:rsidRDefault="00AA35D7" w:rsidP="00FA6A6F">
            <w:pPr>
              <w:jc w:val="center"/>
            </w:pPr>
            <w:r w:rsidRPr="00583832">
              <w:rPr>
                <w:b/>
                <w:bCs/>
                <w:color w:val="000000"/>
              </w:rPr>
              <w:t>ESKİ MADDE</w:t>
            </w:r>
          </w:p>
        </w:tc>
        <w:tc>
          <w:tcPr>
            <w:tcW w:w="7229" w:type="dxa"/>
          </w:tcPr>
          <w:p w:rsidR="00AA35D7" w:rsidRPr="00583832" w:rsidRDefault="00AA35D7" w:rsidP="00FA6A6F">
            <w:pPr>
              <w:jc w:val="center"/>
              <w:rPr>
                <w:b/>
              </w:rPr>
            </w:pPr>
            <w:r w:rsidRPr="00583832">
              <w:rPr>
                <w:b/>
              </w:rPr>
              <w:t>YENİ MADDE</w:t>
            </w:r>
          </w:p>
        </w:tc>
      </w:tr>
      <w:tr w:rsidR="00AA35D7" w:rsidRPr="00583832" w:rsidTr="00AA35D7">
        <w:tc>
          <w:tcPr>
            <w:tcW w:w="6941" w:type="dxa"/>
          </w:tcPr>
          <w:p w:rsidR="00AA35D7" w:rsidRPr="006361B5" w:rsidRDefault="00AA35D7" w:rsidP="00F81DD9">
            <w:pPr>
              <w:spacing w:after="200" w:line="276" w:lineRule="auto"/>
              <w:jc w:val="both"/>
              <w:rPr>
                <w:rFonts w:eastAsia="Calibri"/>
              </w:rPr>
            </w:pPr>
            <w:r w:rsidRPr="006361B5">
              <w:rPr>
                <w:b/>
                <w:bCs/>
              </w:rPr>
              <w:t xml:space="preserve">MADDE 4- </w:t>
            </w:r>
            <w:r w:rsidRPr="006361B5">
              <w:rPr>
                <w:rFonts w:eastAsia="Calibri"/>
              </w:rPr>
              <w:t>(1) İşbu Genelgede, Tebliğin 4 üncü maddesinde belirtilen tanımlara ilaveten aşağıdaki tanımlar esas alınacaktır.</w:t>
            </w:r>
          </w:p>
          <w:p w:rsidR="00AA35D7" w:rsidRPr="006361B5" w:rsidRDefault="00AA35D7" w:rsidP="00F81DD9">
            <w:pPr>
              <w:spacing w:after="200" w:line="276" w:lineRule="auto"/>
              <w:jc w:val="both"/>
              <w:rPr>
                <w:rFonts w:eastAsia="Calibri"/>
              </w:rPr>
            </w:pPr>
            <w:r w:rsidRPr="006361B5">
              <w:rPr>
                <w:rFonts w:eastAsia="Calibri"/>
              </w:rPr>
              <w:t>Proje: Türkiye Ticaret Merkezi kurmak ve işletmek amacıyla ortakları, kapsamı, süresi, bütçesi, uygulayıcıları, fizibilite raporu ile öngörülen çıktıları belirlenmiş faaliyetler bütününü,</w:t>
            </w:r>
          </w:p>
          <w:p w:rsidR="00AA35D7" w:rsidRPr="00F81DD9" w:rsidRDefault="00AA35D7" w:rsidP="00F81DD9">
            <w:pPr>
              <w:spacing w:after="200" w:line="276" w:lineRule="auto"/>
              <w:jc w:val="both"/>
              <w:rPr>
                <w:rFonts w:eastAsia="Calibri"/>
                <w:strike/>
              </w:rPr>
            </w:pPr>
            <w:r w:rsidRPr="00F81DD9">
              <w:rPr>
                <w:rFonts w:eastAsia="Calibri"/>
                <w:strike/>
              </w:rPr>
              <w:t xml:space="preserve">Proje Değerlendirme Komisyonu: </w:t>
            </w:r>
            <w:r w:rsidRPr="00F81DD9">
              <w:rPr>
                <w:strike/>
              </w:rPr>
              <w:t xml:space="preserve">Bakanlık </w:t>
            </w:r>
            <w:r w:rsidRPr="00F81DD9">
              <w:rPr>
                <w:rFonts w:eastAsia="Calibri"/>
                <w:strike/>
              </w:rPr>
              <w:t>temsilcilerinden oluşan ve bu Tebliğ kapsamındaki proje ve proje unsurlarına ilişkin değerlendirme yapan komisyonu,</w:t>
            </w:r>
          </w:p>
          <w:p w:rsidR="00AA35D7" w:rsidRPr="0063605A" w:rsidRDefault="00AA35D7" w:rsidP="00F81DD9">
            <w:pPr>
              <w:pStyle w:val="ListeParagraf"/>
              <w:ind w:left="567" w:hanging="534"/>
              <w:jc w:val="both"/>
            </w:pPr>
            <w:r w:rsidRPr="0063605A">
              <w:t xml:space="preserve">İlişkili Kişi: </w:t>
            </w:r>
          </w:p>
          <w:p w:rsidR="00AA35D7" w:rsidRPr="0063605A" w:rsidRDefault="00AA35D7" w:rsidP="00F81DD9">
            <w:pPr>
              <w:pStyle w:val="ListeParagraf"/>
              <w:ind w:left="567"/>
              <w:jc w:val="both"/>
            </w:pPr>
          </w:p>
          <w:p w:rsidR="00AA35D7" w:rsidRPr="0063605A" w:rsidRDefault="00AA35D7" w:rsidP="00F81DD9">
            <w:pPr>
              <w:pStyle w:val="ListeParagraf"/>
              <w:numPr>
                <w:ilvl w:val="0"/>
                <w:numId w:val="27"/>
              </w:numPr>
              <w:spacing w:before="100" w:beforeAutospacing="1" w:after="100" w:afterAutospacing="1"/>
              <w:ind w:left="567"/>
              <w:jc w:val="both"/>
            </w:pPr>
            <w:r w:rsidRPr="0063605A">
              <w:rPr>
                <w:bCs/>
              </w:rPr>
              <w:t>Destek kapsamındaki şirketin kendi ortaklarını,</w:t>
            </w:r>
          </w:p>
          <w:p w:rsidR="00AA35D7" w:rsidRPr="0063605A" w:rsidRDefault="00AA35D7" w:rsidP="00F81DD9">
            <w:pPr>
              <w:pStyle w:val="ListeParagraf"/>
              <w:numPr>
                <w:ilvl w:val="0"/>
                <w:numId w:val="27"/>
              </w:numPr>
              <w:spacing w:before="100" w:beforeAutospacing="1" w:after="100" w:afterAutospacing="1"/>
              <w:ind w:left="567"/>
              <w:jc w:val="both"/>
            </w:pPr>
            <w:r w:rsidRPr="0063605A">
              <w:rPr>
                <w:bCs/>
              </w:rPr>
              <w:t>Destek kapsamındaki şirketlerin veya söz konusu şirketlerin ortaklarının ilgili bulunduğu gerçek kişi veya kurumları,</w:t>
            </w:r>
          </w:p>
          <w:p w:rsidR="00AA35D7" w:rsidRPr="0063605A" w:rsidRDefault="00AA35D7" w:rsidP="00F81DD9">
            <w:pPr>
              <w:pStyle w:val="ListeParagraf"/>
              <w:numPr>
                <w:ilvl w:val="0"/>
                <w:numId w:val="27"/>
              </w:numPr>
              <w:spacing w:before="100" w:beforeAutospacing="1" w:after="100" w:afterAutospacing="1"/>
              <w:ind w:left="567"/>
              <w:jc w:val="both"/>
            </w:pPr>
            <w:r w:rsidRPr="0063605A">
              <w:rPr>
                <w:bCs/>
              </w:rPr>
              <w:t>Destek kapsamındaki şirketler veya söz konusu şirketlerin ortaklarının idaresi, denetimi veya sermayesi bakımından doğrudan veya dolaylı olarak bağlı bulunduğu gerçek kişi veya kurumları,</w:t>
            </w:r>
          </w:p>
          <w:p w:rsidR="00AA35D7" w:rsidRPr="0063605A" w:rsidRDefault="00AA35D7" w:rsidP="00F81DD9">
            <w:pPr>
              <w:pStyle w:val="ListeParagraf"/>
              <w:numPr>
                <w:ilvl w:val="0"/>
                <w:numId w:val="27"/>
              </w:numPr>
              <w:spacing w:before="100" w:beforeAutospacing="1" w:after="100" w:afterAutospacing="1"/>
              <w:ind w:left="567"/>
              <w:jc w:val="both"/>
            </w:pPr>
            <w:r w:rsidRPr="0063605A">
              <w:rPr>
                <w:bCs/>
              </w:rPr>
              <w:t>Destek kapsamındaki şirketlerin veya söz konusu şirketlerin ortaklarının idaresi, denetimi veya sermayesi bakımından nüfuzu altında bulundurduğu gerçek kişi veya kurumları,</w:t>
            </w:r>
          </w:p>
          <w:p w:rsidR="00AA35D7" w:rsidRPr="0063605A" w:rsidRDefault="00AA35D7" w:rsidP="00F81DD9">
            <w:pPr>
              <w:pStyle w:val="ListeParagraf"/>
              <w:numPr>
                <w:ilvl w:val="0"/>
                <w:numId w:val="27"/>
              </w:numPr>
              <w:spacing w:before="100" w:beforeAutospacing="1" w:after="100" w:afterAutospacing="1"/>
              <w:ind w:left="567"/>
              <w:jc w:val="both"/>
            </w:pPr>
            <w:r w:rsidRPr="0063605A">
              <w:rPr>
                <w:bCs/>
              </w:rPr>
              <w:t>Ortakların eşlerini,</w:t>
            </w:r>
          </w:p>
          <w:p w:rsidR="00AA35D7" w:rsidRPr="0063605A" w:rsidRDefault="00AA35D7" w:rsidP="00F81DD9">
            <w:pPr>
              <w:pStyle w:val="ListeParagraf"/>
              <w:rPr>
                <w:bCs/>
              </w:rPr>
            </w:pPr>
          </w:p>
          <w:p w:rsidR="00AA35D7" w:rsidRDefault="00AA35D7" w:rsidP="00F81DD9">
            <w:pPr>
              <w:pStyle w:val="ListeParagraf"/>
              <w:numPr>
                <w:ilvl w:val="0"/>
                <w:numId w:val="27"/>
              </w:numPr>
              <w:spacing w:before="100" w:beforeAutospacing="1" w:after="100" w:afterAutospacing="1"/>
              <w:ind w:left="567"/>
              <w:jc w:val="both"/>
              <w:rPr>
                <w:rFonts w:eastAsia="Calibri"/>
              </w:rPr>
            </w:pPr>
            <w:r w:rsidRPr="0063605A">
              <w:rPr>
                <w:bCs/>
              </w:rPr>
              <w:t>Ortakların veya eşlerinin üstsoy ve altsoyu, üçüncü d</w:t>
            </w:r>
            <w:r>
              <w:rPr>
                <w:bCs/>
              </w:rPr>
              <w:t xml:space="preserve">erece dahil yansoy hısımları ve </w:t>
            </w:r>
            <w:r w:rsidRPr="00441C44">
              <w:rPr>
                <w:rFonts w:eastAsia="Calibri"/>
              </w:rPr>
              <w:t>kayın hısımlarını</w:t>
            </w:r>
          </w:p>
          <w:p w:rsidR="00AA35D7" w:rsidRPr="00F81DD9" w:rsidRDefault="00AA35D7" w:rsidP="00F81DD9">
            <w:pPr>
              <w:spacing w:after="200" w:line="276" w:lineRule="auto"/>
              <w:jc w:val="both"/>
              <w:rPr>
                <w:rFonts w:eastAsia="Calibri"/>
              </w:rPr>
            </w:pPr>
            <w:r w:rsidRPr="00441C44">
              <w:rPr>
                <w:rFonts w:eastAsia="Calibri"/>
              </w:rPr>
              <w:lastRenderedPageBreak/>
              <w:t>ifade eder.</w:t>
            </w:r>
          </w:p>
        </w:tc>
        <w:tc>
          <w:tcPr>
            <w:tcW w:w="7229" w:type="dxa"/>
          </w:tcPr>
          <w:p w:rsidR="00AA35D7" w:rsidRPr="006361B5" w:rsidRDefault="00AA35D7" w:rsidP="00F81DD9">
            <w:pPr>
              <w:spacing w:after="200" w:line="276" w:lineRule="auto"/>
              <w:jc w:val="both"/>
              <w:rPr>
                <w:rFonts w:eastAsia="Calibri"/>
              </w:rPr>
            </w:pPr>
            <w:r w:rsidRPr="006361B5">
              <w:rPr>
                <w:b/>
                <w:bCs/>
              </w:rPr>
              <w:lastRenderedPageBreak/>
              <w:t xml:space="preserve">MADDE 4- </w:t>
            </w:r>
            <w:r w:rsidRPr="006361B5">
              <w:rPr>
                <w:rFonts w:eastAsia="Calibri"/>
              </w:rPr>
              <w:t>(1) İşbu Genelgede, Tebliğin 4 üncü maddesinde belirtilen tanımlara ilaveten aşağıdaki tanımlar esas alınacaktır.</w:t>
            </w:r>
          </w:p>
          <w:p w:rsidR="00AA35D7" w:rsidRPr="006361B5" w:rsidRDefault="00AA35D7" w:rsidP="00F81DD9">
            <w:pPr>
              <w:spacing w:after="200" w:line="276" w:lineRule="auto"/>
              <w:jc w:val="both"/>
              <w:rPr>
                <w:rFonts w:eastAsia="Calibri"/>
              </w:rPr>
            </w:pPr>
            <w:r w:rsidRPr="006361B5">
              <w:rPr>
                <w:rFonts w:eastAsia="Calibri"/>
              </w:rPr>
              <w:t>Proje: Türkiye Ticaret Merkezi kurmak ve işletmek amacıyla ortakları, kapsamı, süresi, bütçesi, uygulayıcıları, fizibilite raporu ile öngörülen çıktıları belirlenmiş faaliyetler bütününü,</w:t>
            </w:r>
          </w:p>
          <w:p w:rsidR="00AA35D7" w:rsidRPr="0063605A" w:rsidRDefault="00AA35D7" w:rsidP="00F81DD9">
            <w:pPr>
              <w:pStyle w:val="ListeParagraf"/>
              <w:ind w:left="567" w:hanging="534"/>
              <w:jc w:val="both"/>
            </w:pPr>
            <w:r w:rsidRPr="0063605A">
              <w:t xml:space="preserve">İlişkili Kişi: </w:t>
            </w:r>
          </w:p>
          <w:p w:rsidR="00AA35D7" w:rsidRPr="0063605A" w:rsidRDefault="00AA35D7" w:rsidP="00F81DD9">
            <w:pPr>
              <w:pStyle w:val="ListeParagraf"/>
              <w:ind w:left="567"/>
              <w:jc w:val="both"/>
            </w:pPr>
          </w:p>
          <w:p w:rsidR="00AA35D7" w:rsidRPr="0063605A" w:rsidRDefault="00AA35D7" w:rsidP="00F81DD9">
            <w:pPr>
              <w:pStyle w:val="ListeParagraf"/>
              <w:numPr>
                <w:ilvl w:val="0"/>
                <w:numId w:val="27"/>
              </w:numPr>
              <w:spacing w:before="100" w:beforeAutospacing="1" w:after="100" w:afterAutospacing="1"/>
              <w:ind w:left="567"/>
              <w:jc w:val="both"/>
            </w:pPr>
            <w:r w:rsidRPr="0063605A">
              <w:rPr>
                <w:bCs/>
              </w:rPr>
              <w:t>Destek kapsamındaki şirketin kendi ortaklarını,</w:t>
            </w:r>
          </w:p>
          <w:p w:rsidR="00AA35D7" w:rsidRPr="0063605A" w:rsidRDefault="00AA35D7" w:rsidP="00F81DD9">
            <w:pPr>
              <w:pStyle w:val="ListeParagraf"/>
              <w:numPr>
                <w:ilvl w:val="0"/>
                <w:numId w:val="27"/>
              </w:numPr>
              <w:spacing w:before="100" w:beforeAutospacing="1" w:after="100" w:afterAutospacing="1"/>
              <w:ind w:left="567"/>
              <w:jc w:val="both"/>
            </w:pPr>
            <w:r w:rsidRPr="0063605A">
              <w:rPr>
                <w:bCs/>
              </w:rPr>
              <w:t>Destek kapsamındaki şirketlerin veya söz konusu şirketlerin ortaklarının ilgili bulunduğu gerçek kişi veya kurumları,</w:t>
            </w:r>
          </w:p>
          <w:p w:rsidR="00AA35D7" w:rsidRPr="0063605A" w:rsidRDefault="00AA35D7" w:rsidP="00F81DD9">
            <w:pPr>
              <w:pStyle w:val="ListeParagraf"/>
              <w:numPr>
                <w:ilvl w:val="0"/>
                <w:numId w:val="27"/>
              </w:numPr>
              <w:spacing w:before="100" w:beforeAutospacing="1" w:after="100" w:afterAutospacing="1"/>
              <w:ind w:left="567"/>
              <w:jc w:val="both"/>
            </w:pPr>
            <w:r w:rsidRPr="0063605A">
              <w:rPr>
                <w:bCs/>
              </w:rPr>
              <w:t>Destek kapsamındaki şirketler veya söz konusu şirketlerin ortaklarının idaresi, denetimi veya sermayesi bakımından doğrudan veya dolaylı olarak bağlı bulunduğu gerçek kişi veya kurumları,</w:t>
            </w:r>
          </w:p>
          <w:p w:rsidR="00AA35D7" w:rsidRPr="0063605A" w:rsidRDefault="00AA35D7" w:rsidP="00F81DD9">
            <w:pPr>
              <w:pStyle w:val="ListeParagraf"/>
              <w:numPr>
                <w:ilvl w:val="0"/>
                <w:numId w:val="27"/>
              </w:numPr>
              <w:spacing w:before="100" w:beforeAutospacing="1" w:after="100" w:afterAutospacing="1"/>
              <w:ind w:left="567"/>
              <w:jc w:val="both"/>
            </w:pPr>
            <w:r w:rsidRPr="0063605A">
              <w:rPr>
                <w:bCs/>
              </w:rPr>
              <w:t>Destek kapsamındaki şirketlerin veya söz konusu şirketlerin ortaklarının idaresi, denetimi veya sermayesi bakımından nüfuzu altında bulundurduğu gerçek kişi veya kurumları,</w:t>
            </w:r>
          </w:p>
          <w:p w:rsidR="00AA35D7" w:rsidRPr="0063605A" w:rsidRDefault="00AA35D7" w:rsidP="00F81DD9">
            <w:pPr>
              <w:pStyle w:val="ListeParagraf"/>
              <w:numPr>
                <w:ilvl w:val="0"/>
                <w:numId w:val="27"/>
              </w:numPr>
              <w:spacing w:before="100" w:beforeAutospacing="1" w:after="100" w:afterAutospacing="1"/>
              <w:ind w:left="567"/>
              <w:jc w:val="both"/>
            </w:pPr>
            <w:r w:rsidRPr="0063605A">
              <w:rPr>
                <w:bCs/>
              </w:rPr>
              <w:t>Ortakların eşlerini,</w:t>
            </w:r>
          </w:p>
          <w:p w:rsidR="00AA35D7" w:rsidRPr="0063605A" w:rsidRDefault="00AA35D7" w:rsidP="00F81DD9">
            <w:pPr>
              <w:pStyle w:val="ListeParagraf"/>
              <w:rPr>
                <w:bCs/>
              </w:rPr>
            </w:pPr>
          </w:p>
          <w:p w:rsidR="00AA35D7" w:rsidRDefault="00AA35D7" w:rsidP="00F81DD9">
            <w:pPr>
              <w:pStyle w:val="ListeParagraf"/>
              <w:numPr>
                <w:ilvl w:val="0"/>
                <w:numId w:val="27"/>
              </w:numPr>
              <w:spacing w:before="100" w:beforeAutospacing="1" w:after="100" w:afterAutospacing="1"/>
              <w:ind w:left="567"/>
              <w:jc w:val="both"/>
              <w:rPr>
                <w:rFonts w:eastAsia="Calibri"/>
              </w:rPr>
            </w:pPr>
            <w:r w:rsidRPr="0063605A">
              <w:rPr>
                <w:bCs/>
              </w:rPr>
              <w:t>Ortakların veya eşlerinin üstsoy ve altsoyu, üçüncü d</w:t>
            </w:r>
            <w:r>
              <w:rPr>
                <w:bCs/>
              </w:rPr>
              <w:t xml:space="preserve">erece dahil yansoy hısımları ve </w:t>
            </w:r>
            <w:r w:rsidRPr="00441C44">
              <w:rPr>
                <w:rFonts w:eastAsia="Calibri"/>
              </w:rPr>
              <w:t>kayın hısımlarını,</w:t>
            </w:r>
          </w:p>
          <w:p w:rsidR="00AA35D7" w:rsidRPr="00441C44" w:rsidRDefault="00AA35D7" w:rsidP="00F81DD9">
            <w:pPr>
              <w:spacing w:after="200" w:line="276" w:lineRule="auto"/>
              <w:jc w:val="both"/>
              <w:rPr>
                <w:rFonts w:eastAsia="Calibri"/>
              </w:rPr>
            </w:pPr>
            <w:r w:rsidRPr="00441C44">
              <w:rPr>
                <w:rFonts w:eastAsia="Calibri"/>
              </w:rPr>
              <w:t>ifade eder.</w:t>
            </w:r>
          </w:p>
          <w:p w:rsidR="00AA35D7" w:rsidRPr="006361B5" w:rsidRDefault="00AA35D7" w:rsidP="00F81DD9">
            <w:pPr>
              <w:jc w:val="both"/>
              <w:rPr>
                <w:rFonts w:eastAsia="Calibri"/>
                <w:b/>
              </w:rPr>
            </w:pPr>
          </w:p>
        </w:tc>
      </w:tr>
      <w:tr w:rsidR="00AA35D7" w:rsidRPr="00583832" w:rsidTr="00AA35D7">
        <w:tc>
          <w:tcPr>
            <w:tcW w:w="6941" w:type="dxa"/>
          </w:tcPr>
          <w:p w:rsidR="00AA35D7" w:rsidRPr="006361B5" w:rsidRDefault="00AA35D7" w:rsidP="00F81DD9">
            <w:pPr>
              <w:jc w:val="both"/>
            </w:pPr>
            <w:r w:rsidRPr="006361B5">
              <w:rPr>
                <w:rFonts w:eastAsia="Calibri"/>
                <w:b/>
              </w:rPr>
              <w:lastRenderedPageBreak/>
              <w:t>MADDE 18</w:t>
            </w:r>
            <w:r w:rsidRPr="006361B5">
              <w:rPr>
                <w:b/>
              </w:rPr>
              <w:t>-</w:t>
            </w:r>
            <w:r w:rsidRPr="006361B5">
              <w:rPr>
                <w:rFonts w:eastAsia="Calibri"/>
              </w:rPr>
              <w:t xml:space="preserve">  </w:t>
            </w:r>
            <w:r w:rsidRPr="00F81DD9">
              <w:rPr>
                <w:strike/>
              </w:rPr>
              <w:t>(1) Türkiye Ticaret Merkezlerine ilişkin Proje başvuruları EK-A’da yer alan Proje Başvuru Formu ile Bakanlığa yapılır.</w:t>
            </w:r>
          </w:p>
          <w:p w:rsidR="00AA35D7" w:rsidRPr="006361B5" w:rsidRDefault="00AA35D7" w:rsidP="00F81DD9">
            <w:pPr>
              <w:jc w:val="both"/>
            </w:pPr>
            <w:r w:rsidRPr="006361B5">
              <w:tab/>
            </w:r>
          </w:p>
          <w:p w:rsidR="00AA35D7" w:rsidRPr="00A651F3" w:rsidRDefault="00AA35D7" w:rsidP="00F81DD9">
            <w:pPr>
              <w:jc w:val="both"/>
              <w:rPr>
                <w:rFonts w:eastAsia="Calibri"/>
                <w:u w:val="single"/>
              </w:rPr>
            </w:pPr>
            <w:r w:rsidRPr="006361B5">
              <w:t>(2)  Proje, İşbirliği Kuruluşlarının üyelerinden gelen talepler dikkate alınarak oluşturulur.</w:t>
            </w:r>
          </w:p>
        </w:tc>
        <w:tc>
          <w:tcPr>
            <w:tcW w:w="7229" w:type="dxa"/>
          </w:tcPr>
          <w:p w:rsidR="00AA35D7" w:rsidRDefault="00AA35D7" w:rsidP="00F81DD9">
            <w:pPr>
              <w:jc w:val="both"/>
            </w:pPr>
            <w:r w:rsidRPr="006361B5">
              <w:rPr>
                <w:rFonts w:eastAsia="Calibri"/>
                <w:b/>
              </w:rPr>
              <w:t>MADDE 18</w:t>
            </w:r>
            <w:r w:rsidRPr="006361B5">
              <w:rPr>
                <w:b/>
              </w:rPr>
              <w:t>-</w:t>
            </w:r>
            <w:r w:rsidRPr="006361B5">
              <w:rPr>
                <w:rFonts w:eastAsia="Calibri"/>
              </w:rPr>
              <w:t xml:space="preserve">  </w:t>
            </w:r>
            <w:r w:rsidRPr="006361B5">
              <w:t>(1) Proje, İşbirliği Kuruluşlarının üyelerinden gelen talepler dikkate alınarak oluşturulur.</w:t>
            </w:r>
          </w:p>
          <w:p w:rsidR="00AA35D7" w:rsidRPr="00AB1E2E" w:rsidRDefault="00AA35D7" w:rsidP="00F81DD9">
            <w:pPr>
              <w:jc w:val="both"/>
              <w:rPr>
                <w:b/>
              </w:rPr>
            </w:pPr>
            <w:r w:rsidRPr="00AB1E2E">
              <w:rPr>
                <w:b/>
              </w:rPr>
              <w:t xml:space="preserve">(2) Kurulması planlanan Türkiye Ticaret Merkezine ilişkin Proje başvurusu EK-A1’de yer alan TTM Proje Ön Onay Başvuru Formu ile Bakanlığa yapılır. </w:t>
            </w:r>
          </w:p>
          <w:p w:rsidR="00AA35D7" w:rsidRPr="006361B5" w:rsidRDefault="00AA35D7" w:rsidP="00F81DD9">
            <w:pPr>
              <w:jc w:val="both"/>
            </w:pPr>
          </w:p>
          <w:p w:rsidR="00AA35D7" w:rsidRPr="00E377C4" w:rsidRDefault="00AA35D7" w:rsidP="00F81DD9">
            <w:pPr>
              <w:jc w:val="both"/>
            </w:pPr>
            <w:r w:rsidRPr="00A651F3">
              <w:rPr>
                <w:rFonts w:eastAsia="Calibri"/>
                <w:b/>
              </w:rPr>
              <w:t xml:space="preserve">(3) </w:t>
            </w:r>
            <w:r>
              <w:rPr>
                <w:rFonts w:eastAsia="Calibri"/>
                <w:b/>
              </w:rPr>
              <w:t>Bakanlıkça</w:t>
            </w:r>
            <w:r w:rsidRPr="00A651F3">
              <w:rPr>
                <w:rFonts w:eastAsia="Calibri"/>
                <w:b/>
              </w:rPr>
              <w:t xml:space="preserve"> </w:t>
            </w:r>
            <w:r>
              <w:rPr>
                <w:rFonts w:eastAsia="Calibri"/>
                <w:b/>
              </w:rPr>
              <w:t>p</w:t>
            </w:r>
            <w:r w:rsidRPr="00A651F3">
              <w:rPr>
                <w:rFonts w:eastAsia="Calibri"/>
                <w:b/>
              </w:rPr>
              <w:t>rojeye</w:t>
            </w:r>
            <w:r>
              <w:rPr>
                <w:rFonts w:eastAsia="Calibri"/>
                <w:b/>
              </w:rPr>
              <w:t xml:space="preserve"> </w:t>
            </w:r>
            <w:r w:rsidRPr="00A651F3">
              <w:rPr>
                <w:rFonts w:eastAsia="Calibri"/>
                <w:b/>
              </w:rPr>
              <w:t xml:space="preserve">ön onay verilmesini </w:t>
            </w:r>
            <w:r>
              <w:rPr>
                <w:rFonts w:eastAsia="Calibri"/>
                <w:b/>
              </w:rPr>
              <w:t>müteakip</w:t>
            </w:r>
            <w:r w:rsidRPr="00A651F3">
              <w:rPr>
                <w:rFonts w:eastAsia="Calibri"/>
                <w:b/>
              </w:rPr>
              <w:t xml:space="preserve"> </w:t>
            </w:r>
            <w:r w:rsidRPr="00A651F3">
              <w:rPr>
                <w:b/>
              </w:rPr>
              <w:t>işletici şirket kurulur ve kira sözleşmesi yapılır.</w:t>
            </w:r>
            <w:r>
              <w:t xml:space="preserve"> </w:t>
            </w:r>
          </w:p>
        </w:tc>
      </w:tr>
      <w:tr w:rsidR="00AA35D7" w:rsidRPr="00583832" w:rsidTr="00AA35D7">
        <w:tc>
          <w:tcPr>
            <w:tcW w:w="6941" w:type="dxa"/>
          </w:tcPr>
          <w:p w:rsidR="00AA35D7" w:rsidRPr="00F81DD9" w:rsidRDefault="00AA35D7" w:rsidP="00F81DD9">
            <w:pPr>
              <w:spacing w:after="200" w:line="276" w:lineRule="auto"/>
              <w:jc w:val="both"/>
              <w:rPr>
                <w:rFonts w:eastAsia="Calibri"/>
                <w:strike/>
              </w:rPr>
            </w:pPr>
            <w:r>
              <w:rPr>
                <w:rFonts w:eastAsia="Calibri"/>
                <w:b/>
              </w:rPr>
              <w:t xml:space="preserve">MADDE 19- </w:t>
            </w:r>
            <w:r w:rsidRPr="00F81DD9">
              <w:rPr>
                <w:rFonts w:eastAsia="Calibri"/>
                <w:strike/>
              </w:rPr>
              <w:t xml:space="preserve">(1)  Proje Değerlendirme Komisyonu, İhracat Genel Müdürü, ilgili İhracat Genel Müdür Yardımcısı, İhracat Genel Müdürlüğü Markalaşma ve Ar-Ge Destekleri Daire Başkanı ve proje uzmanından oluşur. </w:t>
            </w:r>
          </w:p>
          <w:p w:rsidR="00AA35D7" w:rsidRPr="00F81DD9" w:rsidRDefault="00AA35D7" w:rsidP="00F81DD9">
            <w:pPr>
              <w:spacing w:after="200" w:line="276" w:lineRule="auto"/>
              <w:jc w:val="both"/>
              <w:rPr>
                <w:rFonts w:eastAsia="Calibri"/>
                <w:strike/>
              </w:rPr>
            </w:pPr>
            <w:r w:rsidRPr="00F81DD9">
              <w:rPr>
                <w:rFonts w:eastAsia="Calibri"/>
                <w:b/>
                <w:strike/>
              </w:rPr>
              <w:t xml:space="preserve"> </w:t>
            </w:r>
            <w:r w:rsidRPr="00F81DD9">
              <w:rPr>
                <w:rFonts w:eastAsia="Calibri"/>
                <w:strike/>
              </w:rPr>
              <w:t>(2) Proje uzmanı, proje başvurusunu içerik, şekil ve bütünlük açısından inceler. Projenin niteliğine göre ilgili Kurum ve Kuruluşlardan görüş alınabilir. Komisyon, incelemenin ardından proje başvurusu yapan İşbirliği Kuruluşunu projeyi anlatmak üzere çağırabilir, projeyi onaylayabilir, projeye ilişkin değişiklik ve geliştirme önerilerinde bulunabilir veya projeyi reddedebilir.</w:t>
            </w:r>
          </w:p>
          <w:p w:rsidR="00AA35D7" w:rsidRPr="00DE0C1C" w:rsidRDefault="00AA35D7" w:rsidP="00F81DD9">
            <w:pPr>
              <w:spacing w:after="200" w:line="276" w:lineRule="auto"/>
              <w:jc w:val="both"/>
              <w:rPr>
                <w:rFonts w:eastAsia="Calibri"/>
                <w:strike/>
              </w:rPr>
            </w:pPr>
            <w:r w:rsidRPr="00DE0C1C">
              <w:rPr>
                <w:rFonts w:eastAsia="Calibri"/>
                <w:strike/>
              </w:rPr>
              <w:t>(3) Projenin onaylandığı tarihten itibaren gerçekleştirilen giderler destek kapsamında değerlendirilir.</w:t>
            </w:r>
          </w:p>
        </w:tc>
        <w:tc>
          <w:tcPr>
            <w:tcW w:w="7229" w:type="dxa"/>
          </w:tcPr>
          <w:p w:rsidR="00AA35D7" w:rsidRPr="00DE0C1C" w:rsidRDefault="00AA35D7" w:rsidP="00F81DD9">
            <w:pPr>
              <w:spacing w:after="200" w:line="276" w:lineRule="auto"/>
              <w:jc w:val="both"/>
              <w:rPr>
                <w:rFonts w:eastAsia="Calibri"/>
                <w:b/>
              </w:rPr>
            </w:pPr>
            <w:r w:rsidRPr="00DE0C1C">
              <w:rPr>
                <w:rFonts w:eastAsia="Calibri"/>
                <w:b/>
              </w:rPr>
              <w:t xml:space="preserve">MADDE 19- (1) </w:t>
            </w:r>
            <w:r w:rsidRPr="00DE0C1C">
              <w:rPr>
                <w:b/>
              </w:rPr>
              <w:t>Nihai TTM Proje başvuruları EK-A2’de yer alan Proje Nihai Onay Başvuru Formu ile Bakanlığa yapılır.</w:t>
            </w:r>
          </w:p>
          <w:p w:rsidR="00AA35D7" w:rsidRPr="008B5A8E" w:rsidRDefault="00AA35D7" w:rsidP="008B5A8E">
            <w:pPr>
              <w:jc w:val="both"/>
              <w:rPr>
                <w:b/>
              </w:rPr>
            </w:pPr>
            <w:r w:rsidRPr="008B5A8E">
              <w:rPr>
                <w:b/>
              </w:rPr>
              <w:t>(2)  Projeye ön onay verildiği tarihten sonra gerçekleştirilen giderler nihai onayı müteakip destek kapsamında değerlendirilir.</w:t>
            </w:r>
          </w:p>
          <w:p w:rsidR="00AA35D7" w:rsidRPr="00DE0C1C" w:rsidRDefault="00AA35D7" w:rsidP="00B8786C">
            <w:pPr>
              <w:jc w:val="both"/>
              <w:rPr>
                <w:rFonts w:eastAsia="Calibri"/>
                <w:b/>
              </w:rPr>
            </w:pPr>
            <w:r w:rsidRPr="00DE0C1C">
              <w:rPr>
                <w:b/>
              </w:rPr>
              <w:t>(3) Aynı binada birden fazla Türkiye Ticaret Merkezi olması halinde, proje onay tarihi olarak aynı binadaki ilk projenin nihai onay tarihi esas alınır.</w:t>
            </w:r>
          </w:p>
        </w:tc>
      </w:tr>
      <w:tr w:rsidR="00AA35D7" w:rsidRPr="00583832" w:rsidTr="00AA35D7">
        <w:tc>
          <w:tcPr>
            <w:tcW w:w="6941" w:type="dxa"/>
          </w:tcPr>
          <w:p w:rsidR="00AA35D7" w:rsidRPr="00D735E9" w:rsidRDefault="00AA35D7" w:rsidP="00F81DD9">
            <w:pPr>
              <w:jc w:val="both"/>
            </w:pPr>
            <w:r w:rsidRPr="00D735E9">
              <w:rPr>
                <w:rFonts w:eastAsia="Calibri"/>
                <w:b/>
              </w:rPr>
              <w:t>MADDE 20-</w:t>
            </w:r>
            <w:r w:rsidRPr="00D735E9">
              <w:rPr>
                <w:rFonts w:eastAsia="Calibri"/>
              </w:rPr>
              <w:t xml:space="preserve"> (1)</w:t>
            </w:r>
            <w:r w:rsidRPr="00D735E9">
              <w:t xml:space="preserve"> Destek kapsamındaki Türkiye Ticaret Merkezlerinin;</w:t>
            </w:r>
          </w:p>
          <w:p w:rsidR="00AA35D7" w:rsidRPr="00D735E9" w:rsidRDefault="00AA35D7" w:rsidP="00F81DD9">
            <w:pPr>
              <w:ind w:firstLine="720"/>
              <w:jc w:val="both"/>
            </w:pPr>
            <w:r w:rsidRPr="00D735E9">
              <w:t xml:space="preserve">• Tabela, </w:t>
            </w:r>
          </w:p>
          <w:p w:rsidR="00AA35D7" w:rsidRPr="00D735E9" w:rsidRDefault="00AA35D7" w:rsidP="00F81DD9">
            <w:pPr>
              <w:ind w:firstLine="720"/>
              <w:jc w:val="both"/>
            </w:pPr>
            <w:r w:rsidRPr="00D735E9">
              <w:t xml:space="preserve">• Kepenk sistemi, </w:t>
            </w:r>
          </w:p>
          <w:p w:rsidR="00AA35D7" w:rsidRPr="00D735E9" w:rsidRDefault="00AA35D7" w:rsidP="00F81DD9">
            <w:pPr>
              <w:ind w:firstLine="720"/>
              <w:jc w:val="both"/>
            </w:pPr>
            <w:r w:rsidRPr="00D735E9">
              <w:t xml:space="preserve">• Kamera güvenlik sistemi, </w:t>
            </w:r>
          </w:p>
          <w:p w:rsidR="00AA35D7" w:rsidRPr="00D735E9" w:rsidRDefault="00AA35D7" w:rsidP="00F81DD9">
            <w:pPr>
              <w:ind w:firstLine="720"/>
              <w:jc w:val="both"/>
            </w:pPr>
            <w:r w:rsidRPr="00D735E9">
              <w:t xml:space="preserve">• Ürünler için güvenlik sistemi, </w:t>
            </w:r>
          </w:p>
          <w:p w:rsidR="00AA35D7" w:rsidRPr="00D735E9" w:rsidRDefault="00AA35D7" w:rsidP="00F81DD9">
            <w:pPr>
              <w:ind w:firstLine="720"/>
              <w:jc w:val="both"/>
            </w:pPr>
            <w:r w:rsidRPr="00D735E9">
              <w:lastRenderedPageBreak/>
              <w:t xml:space="preserve">• Alarm ve yangın sistemi, </w:t>
            </w:r>
          </w:p>
          <w:p w:rsidR="00AA35D7" w:rsidRPr="00D735E9" w:rsidRDefault="00AA35D7" w:rsidP="00F81DD9">
            <w:pPr>
              <w:ind w:firstLine="720"/>
              <w:jc w:val="both"/>
            </w:pPr>
            <w:r w:rsidRPr="00D735E9">
              <w:t>• Elektrik sistemi,</w:t>
            </w:r>
          </w:p>
          <w:p w:rsidR="00AA35D7" w:rsidRPr="00D735E9" w:rsidRDefault="00AA35D7" w:rsidP="00F81DD9">
            <w:pPr>
              <w:ind w:firstLine="720"/>
              <w:jc w:val="both"/>
            </w:pPr>
            <w:r w:rsidRPr="00D735E9">
              <w:t xml:space="preserve">• Yer ve duvar döşemeleri, </w:t>
            </w:r>
          </w:p>
          <w:p w:rsidR="00AA35D7" w:rsidRPr="00D735E9" w:rsidRDefault="00AA35D7" w:rsidP="00F81DD9">
            <w:pPr>
              <w:ind w:firstLine="720"/>
              <w:jc w:val="both"/>
            </w:pPr>
            <w:r w:rsidRPr="00D735E9">
              <w:t xml:space="preserve">• Kartonpiyer / alçıpan / boya / badana, </w:t>
            </w:r>
          </w:p>
          <w:p w:rsidR="00AA35D7" w:rsidRPr="00D735E9" w:rsidRDefault="00AA35D7" w:rsidP="00F81DD9">
            <w:pPr>
              <w:ind w:firstLine="720"/>
              <w:jc w:val="both"/>
            </w:pPr>
            <w:r w:rsidRPr="00D735E9">
              <w:t xml:space="preserve">• Işıklandırma sistemi ve malzemeleri, </w:t>
            </w:r>
          </w:p>
          <w:p w:rsidR="00AA35D7" w:rsidRPr="00D735E9" w:rsidRDefault="00AA35D7" w:rsidP="00F81DD9">
            <w:pPr>
              <w:ind w:firstLine="720"/>
              <w:jc w:val="both"/>
            </w:pPr>
            <w:r w:rsidRPr="00D735E9">
              <w:t xml:space="preserve">• Merkezi, taşınamaz havalandırma ve iklimlendirme tertibatı, </w:t>
            </w:r>
          </w:p>
          <w:p w:rsidR="00AA35D7" w:rsidRPr="00D735E9" w:rsidRDefault="00AA35D7" w:rsidP="00F81DD9">
            <w:pPr>
              <w:ind w:firstLine="720"/>
              <w:jc w:val="both"/>
            </w:pPr>
            <w:r w:rsidRPr="00D735E9">
              <w:t xml:space="preserve">• Raf, dolap, </w:t>
            </w:r>
          </w:p>
          <w:p w:rsidR="00AA35D7" w:rsidRPr="00D735E9" w:rsidRDefault="00AA35D7" w:rsidP="00F81DD9">
            <w:pPr>
              <w:ind w:firstLine="720"/>
              <w:jc w:val="both"/>
            </w:pPr>
            <w:r w:rsidRPr="00D735E9">
              <w:t xml:space="preserve">• Vitrin, </w:t>
            </w:r>
          </w:p>
          <w:p w:rsidR="00AA35D7" w:rsidRPr="00D735E9" w:rsidRDefault="00AA35D7" w:rsidP="00F81DD9">
            <w:pPr>
              <w:ind w:firstLine="720"/>
              <w:jc w:val="both"/>
            </w:pPr>
            <w:r w:rsidRPr="00D735E9">
              <w:t xml:space="preserve">• Montaj/Demontaj, İşçilik harcamaları, </w:t>
            </w:r>
          </w:p>
          <w:p w:rsidR="00AA35D7" w:rsidRPr="00D735E9" w:rsidRDefault="00AA35D7" w:rsidP="00F81DD9">
            <w:pPr>
              <w:ind w:firstLine="720"/>
              <w:jc w:val="both"/>
            </w:pPr>
            <w:r w:rsidRPr="00D735E9">
              <w:t>• Profil askılık</w:t>
            </w:r>
          </w:p>
          <w:p w:rsidR="00AA35D7" w:rsidRPr="00D735E9" w:rsidRDefault="00AA35D7" w:rsidP="00F81DD9">
            <w:pPr>
              <w:jc w:val="both"/>
            </w:pPr>
            <w:r w:rsidRPr="00D735E9">
              <w:t xml:space="preserve">giderleri kurulum/dekorasyon desteği kapsamında desteklenir. </w:t>
            </w:r>
          </w:p>
          <w:p w:rsidR="00AA35D7" w:rsidRPr="00D735E9" w:rsidRDefault="00AA35D7" w:rsidP="00F81DD9">
            <w:pPr>
              <w:jc w:val="both"/>
            </w:pPr>
          </w:p>
          <w:p w:rsidR="00AA35D7" w:rsidRPr="00D735E9" w:rsidRDefault="00AA35D7" w:rsidP="00F81DD9">
            <w:pPr>
              <w:jc w:val="both"/>
            </w:pPr>
            <w:r w:rsidRPr="00D735E9">
              <w:t>…</w:t>
            </w:r>
          </w:p>
        </w:tc>
        <w:tc>
          <w:tcPr>
            <w:tcW w:w="7229" w:type="dxa"/>
          </w:tcPr>
          <w:p w:rsidR="00AA35D7" w:rsidRPr="00D735E9" w:rsidRDefault="00AA35D7" w:rsidP="00F81DD9">
            <w:pPr>
              <w:jc w:val="both"/>
            </w:pPr>
            <w:r w:rsidRPr="00D735E9">
              <w:rPr>
                <w:rFonts w:eastAsia="Calibri"/>
                <w:b/>
              </w:rPr>
              <w:lastRenderedPageBreak/>
              <w:t>MADDE 20-</w:t>
            </w:r>
            <w:r w:rsidRPr="00D735E9">
              <w:rPr>
                <w:rFonts w:eastAsia="Calibri"/>
              </w:rPr>
              <w:t xml:space="preserve"> (1)</w:t>
            </w:r>
            <w:r w:rsidRPr="00D735E9">
              <w:t xml:space="preserve"> Destek kapsamındaki Türkiye Ticaret Merkezlerinin;</w:t>
            </w:r>
          </w:p>
          <w:p w:rsidR="00AA35D7" w:rsidRPr="00D735E9" w:rsidRDefault="00AA35D7" w:rsidP="00F81DD9">
            <w:pPr>
              <w:ind w:firstLine="198"/>
              <w:jc w:val="both"/>
            </w:pPr>
            <w:r w:rsidRPr="00D735E9">
              <w:t xml:space="preserve">• Tabela, </w:t>
            </w:r>
          </w:p>
          <w:p w:rsidR="00AA35D7" w:rsidRPr="00D735E9" w:rsidRDefault="00AA35D7" w:rsidP="00F81DD9">
            <w:pPr>
              <w:ind w:firstLine="198"/>
              <w:jc w:val="both"/>
            </w:pPr>
            <w:r w:rsidRPr="00D735E9">
              <w:t xml:space="preserve">• Kepenk sistemi, </w:t>
            </w:r>
          </w:p>
          <w:p w:rsidR="00AA35D7" w:rsidRPr="00D735E9" w:rsidRDefault="00AA35D7" w:rsidP="00F81DD9">
            <w:pPr>
              <w:ind w:firstLine="198"/>
              <w:jc w:val="both"/>
            </w:pPr>
            <w:r w:rsidRPr="00D735E9">
              <w:t xml:space="preserve">• Kamera güvenlik sistemi, </w:t>
            </w:r>
          </w:p>
          <w:p w:rsidR="00AA35D7" w:rsidRPr="00D735E9" w:rsidRDefault="00AA35D7" w:rsidP="00F81DD9">
            <w:pPr>
              <w:ind w:firstLine="198"/>
              <w:jc w:val="both"/>
            </w:pPr>
            <w:r w:rsidRPr="00D735E9">
              <w:t xml:space="preserve">• Ürünler için güvenlik sistemi, </w:t>
            </w:r>
          </w:p>
          <w:p w:rsidR="00AA35D7" w:rsidRPr="00D735E9" w:rsidRDefault="00AA35D7" w:rsidP="00F81DD9">
            <w:pPr>
              <w:ind w:firstLine="198"/>
              <w:jc w:val="both"/>
            </w:pPr>
            <w:r w:rsidRPr="00D735E9">
              <w:t xml:space="preserve">• Alarm ve yangın sistemi, </w:t>
            </w:r>
          </w:p>
          <w:p w:rsidR="00AA35D7" w:rsidRDefault="00AA35D7" w:rsidP="00F81DD9">
            <w:pPr>
              <w:ind w:firstLine="198"/>
              <w:jc w:val="both"/>
            </w:pPr>
            <w:r w:rsidRPr="00D735E9">
              <w:lastRenderedPageBreak/>
              <w:t xml:space="preserve">• </w:t>
            </w:r>
            <w:r>
              <w:t>Elektrik sistemi,</w:t>
            </w:r>
          </w:p>
          <w:p w:rsidR="00AA35D7" w:rsidRPr="00D735E9" w:rsidRDefault="00AA35D7" w:rsidP="00F81DD9">
            <w:pPr>
              <w:ind w:firstLine="198"/>
              <w:jc w:val="both"/>
            </w:pPr>
            <w:r w:rsidRPr="00D735E9">
              <w:t xml:space="preserve">• Yer ve duvar döşemeleri, </w:t>
            </w:r>
          </w:p>
          <w:p w:rsidR="00AA35D7" w:rsidRPr="00D735E9" w:rsidRDefault="00AA35D7" w:rsidP="00F81DD9">
            <w:pPr>
              <w:ind w:firstLine="198"/>
              <w:jc w:val="both"/>
            </w:pPr>
            <w:r w:rsidRPr="00D735E9">
              <w:t xml:space="preserve">• Kartonpiyer / alçıpan / boya / badana, </w:t>
            </w:r>
          </w:p>
          <w:p w:rsidR="00AA35D7" w:rsidRPr="00D735E9" w:rsidRDefault="00AA35D7" w:rsidP="00F81DD9">
            <w:pPr>
              <w:ind w:firstLine="198"/>
              <w:jc w:val="both"/>
            </w:pPr>
            <w:r w:rsidRPr="00D735E9">
              <w:t xml:space="preserve">• Işıklandırma sistemi ve malzemeleri, </w:t>
            </w:r>
          </w:p>
          <w:p w:rsidR="00AA35D7" w:rsidRPr="00D735E9" w:rsidRDefault="00AA35D7" w:rsidP="00F81DD9">
            <w:pPr>
              <w:ind w:firstLine="198"/>
              <w:jc w:val="both"/>
            </w:pPr>
            <w:r>
              <w:t>•</w:t>
            </w:r>
            <w:r w:rsidRPr="00D735E9">
              <w:t xml:space="preserve">Merkezi, taşınamaz havalandırma ve iklimlendirme tertibatı, </w:t>
            </w:r>
          </w:p>
          <w:p w:rsidR="00AA35D7" w:rsidRPr="00D735E9" w:rsidRDefault="00AA35D7" w:rsidP="00F81DD9">
            <w:pPr>
              <w:ind w:firstLine="198"/>
              <w:jc w:val="both"/>
            </w:pPr>
            <w:r w:rsidRPr="00D735E9">
              <w:t xml:space="preserve">• Raf, dolap, </w:t>
            </w:r>
          </w:p>
          <w:p w:rsidR="00AA35D7" w:rsidRPr="00D735E9" w:rsidRDefault="00AA35D7" w:rsidP="00F81DD9">
            <w:pPr>
              <w:ind w:firstLine="198"/>
              <w:jc w:val="both"/>
            </w:pPr>
            <w:r w:rsidRPr="00D735E9">
              <w:t xml:space="preserve">• Vitrin, </w:t>
            </w:r>
          </w:p>
          <w:p w:rsidR="00AA35D7" w:rsidRPr="00D735E9" w:rsidRDefault="00AA35D7" w:rsidP="00F81DD9">
            <w:pPr>
              <w:ind w:firstLine="198"/>
              <w:jc w:val="both"/>
            </w:pPr>
            <w:r w:rsidRPr="00D735E9">
              <w:t xml:space="preserve">• Montaj/Demontaj, İşçilik harcamaları, </w:t>
            </w:r>
          </w:p>
          <w:p w:rsidR="00AA35D7" w:rsidRDefault="00AA35D7" w:rsidP="008B5A8E">
            <w:pPr>
              <w:ind w:firstLine="198"/>
              <w:jc w:val="both"/>
            </w:pPr>
            <w:r w:rsidRPr="00D735E9">
              <w:t>• Profil askılık</w:t>
            </w:r>
            <w:r>
              <w:t>,</w:t>
            </w:r>
          </w:p>
          <w:p w:rsidR="00AA35D7" w:rsidRPr="00D735E9" w:rsidRDefault="00AA35D7" w:rsidP="008B5A8E">
            <w:pPr>
              <w:ind w:firstLine="198"/>
              <w:jc w:val="both"/>
              <w:rPr>
                <w:b/>
              </w:rPr>
            </w:pPr>
            <w:r>
              <w:rPr>
                <w:b/>
              </w:rPr>
              <w:t>• İnternet kurulumu</w:t>
            </w:r>
          </w:p>
          <w:p w:rsidR="00AA35D7" w:rsidRPr="00D735E9" w:rsidRDefault="00AA35D7" w:rsidP="00F81DD9">
            <w:pPr>
              <w:ind w:firstLine="198"/>
              <w:jc w:val="both"/>
            </w:pPr>
          </w:p>
          <w:p w:rsidR="00AA35D7" w:rsidRPr="00D735E9" w:rsidRDefault="00AA35D7" w:rsidP="00F81DD9">
            <w:pPr>
              <w:jc w:val="both"/>
            </w:pPr>
            <w:r w:rsidRPr="00D735E9">
              <w:t xml:space="preserve">giderleri kurulum/dekorasyon desteği kapsamında desteklenir. </w:t>
            </w:r>
          </w:p>
          <w:p w:rsidR="00AA35D7" w:rsidRPr="00B13503" w:rsidRDefault="00AA35D7" w:rsidP="00F81DD9">
            <w:pPr>
              <w:jc w:val="both"/>
            </w:pPr>
            <w:r>
              <w:t>…</w:t>
            </w:r>
          </w:p>
        </w:tc>
      </w:tr>
      <w:tr w:rsidR="00AA35D7" w:rsidRPr="00583832" w:rsidTr="00AA35D7">
        <w:tc>
          <w:tcPr>
            <w:tcW w:w="6941" w:type="dxa"/>
          </w:tcPr>
          <w:p w:rsidR="00AA35D7" w:rsidRPr="006361B5" w:rsidRDefault="00AA35D7" w:rsidP="00F81DD9">
            <w:pPr>
              <w:autoSpaceDE w:val="0"/>
              <w:autoSpaceDN w:val="0"/>
              <w:adjustRightInd w:val="0"/>
              <w:jc w:val="both"/>
              <w:rPr>
                <w:rFonts w:eastAsia="Calibri"/>
              </w:rPr>
            </w:pPr>
            <w:r w:rsidRPr="006361B5">
              <w:rPr>
                <w:rFonts w:eastAsia="Calibri"/>
                <w:b/>
              </w:rPr>
              <w:lastRenderedPageBreak/>
              <w:t>MADDE 2</w:t>
            </w:r>
            <w:r>
              <w:rPr>
                <w:rFonts w:eastAsia="Calibri"/>
                <w:b/>
              </w:rPr>
              <w:t>1</w:t>
            </w:r>
            <w:r w:rsidRPr="006361B5">
              <w:rPr>
                <w:rFonts w:eastAsia="Calibri"/>
                <w:b/>
              </w:rPr>
              <w:t xml:space="preserve"> </w:t>
            </w:r>
            <w:r w:rsidRPr="006361B5">
              <w:rPr>
                <w:rFonts w:eastAsia="Calibri"/>
              </w:rPr>
              <w:t xml:space="preserve">(1) İşbirliği Kuruluşu tarafından, Türkiye Ticaret Merkezinde istihdam edilecek personel giderlerinin desteklenmesi için istihdam desteği ön onay başvuru formu (EK-D) doldurularak </w:t>
            </w:r>
            <w:r w:rsidRPr="006361B5">
              <w:t xml:space="preserve">Bakanlığın </w:t>
            </w:r>
            <w:r w:rsidRPr="006361B5">
              <w:rPr>
                <w:rFonts w:eastAsia="Calibri"/>
              </w:rPr>
              <w:t>onayına sunulur.</w:t>
            </w:r>
          </w:p>
          <w:p w:rsidR="00AA35D7" w:rsidRPr="006361B5" w:rsidRDefault="00AA35D7" w:rsidP="00F81DD9">
            <w:pPr>
              <w:autoSpaceDE w:val="0"/>
              <w:autoSpaceDN w:val="0"/>
              <w:adjustRightInd w:val="0"/>
              <w:ind w:firstLine="720"/>
              <w:jc w:val="both"/>
              <w:rPr>
                <w:rFonts w:eastAsia="Calibri"/>
              </w:rPr>
            </w:pPr>
          </w:p>
          <w:p w:rsidR="00AA35D7" w:rsidRPr="006361B5" w:rsidRDefault="00AA35D7" w:rsidP="00F81DD9">
            <w:pPr>
              <w:autoSpaceDE w:val="0"/>
              <w:autoSpaceDN w:val="0"/>
              <w:adjustRightInd w:val="0"/>
              <w:jc w:val="both"/>
              <w:rPr>
                <w:rFonts w:eastAsia="Calibri"/>
              </w:rPr>
            </w:pPr>
            <w:r w:rsidRPr="006361B5">
              <w:rPr>
                <w:rFonts w:eastAsia="Calibri"/>
              </w:rPr>
              <w:t xml:space="preserve">(2) İstihdam desteği kapsamındaki personel; İşletici Şirket genel müdürü, avukat, mali müşavir ile sektör uzmanından oluşur. İdari personel destek kapsamında değerlendirilmez. </w:t>
            </w:r>
          </w:p>
          <w:p w:rsidR="00AA35D7" w:rsidRPr="006361B5" w:rsidRDefault="00AA35D7" w:rsidP="00F81DD9">
            <w:pPr>
              <w:autoSpaceDE w:val="0"/>
              <w:autoSpaceDN w:val="0"/>
              <w:adjustRightInd w:val="0"/>
              <w:ind w:firstLine="720"/>
              <w:jc w:val="both"/>
              <w:rPr>
                <w:rFonts w:eastAsia="Calibri"/>
              </w:rPr>
            </w:pPr>
          </w:p>
          <w:p w:rsidR="00AA35D7" w:rsidRPr="006361B5" w:rsidRDefault="00AA35D7" w:rsidP="00F81DD9">
            <w:pPr>
              <w:autoSpaceDE w:val="0"/>
              <w:autoSpaceDN w:val="0"/>
              <w:adjustRightInd w:val="0"/>
              <w:jc w:val="both"/>
              <w:rPr>
                <w:rFonts w:eastAsia="Calibri"/>
              </w:rPr>
            </w:pPr>
            <w:r w:rsidRPr="006361B5">
              <w:rPr>
                <w:rFonts w:eastAsia="Calibri"/>
              </w:rPr>
              <w:t xml:space="preserve">(3) İstihdam desteği verilecek personelin; İngilizce veya o ülkenin resmi dilini konuşma ve yazma yeterliliğine sahip olması, konusunda yükseköğrenim görmüş </w:t>
            </w:r>
            <w:r w:rsidRPr="00CD740B">
              <w:rPr>
                <w:rFonts w:eastAsia="Calibri"/>
                <w:strike/>
              </w:rPr>
              <w:t>ve en az 5 yıl iş tecrübesini haiz</w:t>
            </w:r>
            <w:r w:rsidRPr="006361B5">
              <w:rPr>
                <w:rFonts w:eastAsia="Calibri"/>
              </w:rPr>
              <w:t xml:space="preserve"> olması gerekmektedir.</w:t>
            </w:r>
          </w:p>
          <w:p w:rsidR="00AA35D7" w:rsidRPr="006361B5" w:rsidRDefault="00AA35D7" w:rsidP="00F81DD9">
            <w:pPr>
              <w:autoSpaceDE w:val="0"/>
              <w:autoSpaceDN w:val="0"/>
              <w:adjustRightInd w:val="0"/>
              <w:ind w:firstLine="720"/>
              <w:jc w:val="both"/>
              <w:rPr>
                <w:rFonts w:eastAsia="Calibri"/>
              </w:rPr>
            </w:pPr>
          </w:p>
          <w:p w:rsidR="00AA35D7" w:rsidRPr="006361B5" w:rsidRDefault="00AA35D7" w:rsidP="00F81DD9">
            <w:pPr>
              <w:autoSpaceDE w:val="0"/>
              <w:autoSpaceDN w:val="0"/>
              <w:adjustRightInd w:val="0"/>
              <w:jc w:val="both"/>
              <w:rPr>
                <w:rFonts w:eastAsia="Calibri"/>
              </w:rPr>
            </w:pPr>
            <w:r w:rsidRPr="006361B5">
              <w:rPr>
                <w:rFonts w:eastAsia="Calibri"/>
              </w:rPr>
              <w:t>(4)</w:t>
            </w:r>
            <w:r w:rsidRPr="006361B5">
              <w:t xml:space="preserve"> Bakanlık </w:t>
            </w:r>
            <w:r w:rsidRPr="006361B5">
              <w:rPr>
                <w:rFonts w:eastAsia="Calibri"/>
              </w:rPr>
              <w:t>tarafından uygun görülen personelin, onay tarihinden itibaren gerçekleştirilen istihdam giderleri desteklenir.</w:t>
            </w:r>
          </w:p>
          <w:p w:rsidR="00AA35D7" w:rsidRPr="006361B5" w:rsidRDefault="00AA35D7" w:rsidP="00F81DD9">
            <w:pPr>
              <w:autoSpaceDE w:val="0"/>
              <w:autoSpaceDN w:val="0"/>
              <w:adjustRightInd w:val="0"/>
              <w:ind w:firstLine="720"/>
              <w:jc w:val="both"/>
              <w:rPr>
                <w:rFonts w:eastAsia="Calibri"/>
              </w:rPr>
            </w:pPr>
          </w:p>
          <w:p w:rsidR="00AA35D7" w:rsidRPr="006361B5" w:rsidRDefault="00AA35D7" w:rsidP="00F81DD9">
            <w:pPr>
              <w:autoSpaceDE w:val="0"/>
              <w:autoSpaceDN w:val="0"/>
              <w:adjustRightInd w:val="0"/>
              <w:jc w:val="both"/>
              <w:rPr>
                <w:rFonts w:eastAsia="Calibri"/>
              </w:rPr>
            </w:pPr>
            <w:r w:rsidRPr="006361B5">
              <w:rPr>
                <w:rFonts w:eastAsia="Calibri"/>
              </w:rPr>
              <w:t xml:space="preserve">(5) Kullanıcı şirketler, İşletici Şirkette istihdam edilen personelin hukuk, mali konular, pazarlama ve sunulan diğer hizmetlerinden </w:t>
            </w:r>
            <w:r w:rsidRPr="006361B5">
              <w:rPr>
                <w:rFonts w:eastAsia="Calibri"/>
              </w:rPr>
              <w:lastRenderedPageBreak/>
              <w:t>istifade ederler.</w:t>
            </w:r>
          </w:p>
          <w:p w:rsidR="00AA35D7" w:rsidRPr="00D735E9" w:rsidRDefault="00AA35D7" w:rsidP="00F81DD9">
            <w:pPr>
              <w:jc w:val="both"/>
              <w:rPr>
                <w:rFonts w:eastAsia="Calibri"/>
                <w:b/>
              </w:rPr>
            </w:pPr>
          </w:p>
        </w:tc>
        <w:tc>
          <w:tcPr>
            <w:tcW w:w="7229" w:type="dxa"/>
          </w:tcPr>
          <w:p w:rsidR="00AA35D7" w:rsidRPr="006361B5" w:rsidRDefault="00AA35D7" w:rsidP="00F81DD9">
            <w:pPr>
              <w:autoSpaceDE w:val="0"/>
              <w:autoSpaceDN w:val="0"/>
              <w:adjustRightInd w:val="0"/>
              <w:jc w:val="both"/>
              <w:rPr>
                <w:rFonts w:eastAsia="Calibri"/>
              </w:rPr>
            </w:pPr>
            <w:r w:rsidRPr="006361B5">
              <w:rPr>
                <w:rFonts w:eastAsia="Calibri"/>
                <w:b/>
              </w:rPr>
              <w:lastRenderedPageBreak/>
              <w:t>MADDE 2</w:t>
            </w:r>
            <w:r>
              <w:rPr>
                <w:rFonts w:eastAsia="Calibri"/>
                <w:b/>
              </w:rPr>
              <w:t>1</w:t>
            </w:r>
            <w:r w:rsidRPr="006361B5">
              <w:rPr>
                <w:rFonts w:eastAsia="Calibri"/>
                <w:b/>
              </w:rPr>
              <w:t xml:space="preserve"> </w:t>
            </w:r>
            <w:r w:rsidRPr="006361B5">
              <w:rPr>
                <w:rFonts w:eastAsia="Calibri"/>
              </w:rPr>
              <w:t xml:space="preserve">(1) İşbirliği Kuruluşu tarafından, Türkiye Ticaret Merkezinde istihdam edilecek personel giderlerinin desteklenmesi için istihdam desteği ön onay başvuru formu (EK-D) doldurularak </w:t>
            </w:r>
            <w:r w:rsidRPr="006361B5">
              <w:t xml:space="preserve">Bakanlığın </w:t>
            </w:r>
            <w:r w:rsidRPr="006361B5">
              <w:rPr>
                <w:rFonts w:eastAsia="Calibri"/>
              </w:rPr>
              <w:t>onayına sunulur.</w:t>
            </w:r>
          </w:p>
          <w:p w:rsidR="00AA35D7" w:rsidRPr="006361B5" w:rsidRDefault="00AA35D7" w:rsidP="00F81DD9">
            <w:pPr>
              <w:autoSpaceDE w:val="0"/>
              <w:autoSpaceDN w:val="0"/>
              <w:adjustRightInd w:val="0"/>
              <w:ind w:firstLine="720"/>
              <w:jc w:val="both"/>
              <w:rPr>
                <w:rFonts w:eastAsia="Calibri"/>
              </w:rPr>
            </w:pPr>
          </w:p>
          <w:p w:rsidR="00AA35D7" w:rsidRPr="006361B5" w:rsidRDefault="00AA35D7" w:rsidP="00F81DD9">
            <w:pPr>
              <w:autoSpaceDE w:val="0"/>
              <w:autoSpaceDN w:val="0"/>
              <w:adjustRightInd w:val="0"/>
              <w:jc w:val="both"/>
              <w:rPr>
                <w:rFonts w:eastAsia="Calibri"/>
              </w:rPr>
            </w:pPr>
            <w:r w:rsidRPr="006361B5">
              <w:rPr>
                <w:rFonts w:eastAsia="Calibri"/>
              </w:rPr>
              <w:t xml:space="preserve">(2) İstihdam desteği kapsamındaki personel; İşletici Şirket genel müdürü, avukat, mali müşavir ile sektör uzmanından oluşur. İdari personel destek kapsamında değerlendirilmez. </w:t>
            </w:r>
          </w:p>
          <w:p w:rsidR="00AA35D7" w:rsidRPr="006361B5" w:rsidRDefault="00AA35D7" w:rsidP="00F81DD9">
            <w:pPr>
              <w:autoSpaceDE w:val="0"/>
              <w:autoSpaceDN w:val="0"/>
              <w:adjustRightInd w:val="0"/>
              <w:ind w:firstLine="720"/>
              <w:jc w:val="both"/>
              <w:rPr>
                <w:rFonts w:eastAsia="Calibri"/>
              </w:rPr>
            </w:pPr>
          </w:p>
          <w:p w:rsidR="00AA35D7" w:rsidRDefault="00AA35D7" w:rsidP="00F81DD9">
            <w:pPr>
              <w:autoSpaceDE w:val="0"/>
              <w:autoSpaceDN w:val="0"/>
              <w:adjustRightInd w:val="0"/>
              <w:jc w:val="both"/>
              <w:rPr>
                <w:rFonts w:eastAsia="Calibri"/>
              </w:rPr>
            </w:pPr>
            <w:r w:rsidRPr="00CD740B">
              <w:rPr>
                <w:rFonts w:eastAsia="Calibri"/>
              </w:rPr>
              <w:t>(3) İstihdam desteği verilecek personelin;  İngilizce veya o ülkenin resmi dilini konuşma ve yazma yeterliliğine sahip ve konusunda yüksek öğrenim görmüş olması gerekmektedir.</w:t>
            </w:r>
          </w:p>
          <w:p w:rsidR="00AA35D7" w:rsidRDefault="00AA35D7" w:rsidP="00F81DD9">
            <w:pPr>
              <w:autoSpaceDE w:val="0"/>
              <w:autoSpaceDN w:val="0"/>
              <w:adjustRightInd w:val="0"/>
              <w:jc w:val="both"/>
              <w:rPr>
                <w:rFonts w:eastAsia="Calibri"/>
              </w:rPr>
            </w:pPr>
          </w:p>
          <w:p w:rsidR="00AA35D7" w:rsidRDefault="00AA35D7" w:rsidP="00F81DD9">
            <w:pPr>
              <w:autoSpaceDE w:val="0"/>
              <w:autoSpaceDN w:val="0"/>
              <w:adjustRightInd w:val="0"/>
              <w:jc w:val="both"/>
              <w:rPr>
                <w:rFonts w:eastAsia="Calibri"/>
              </w:rPr>
            </w:pPr>
            <w:r w:rsidRPr="00AD26B7">
              <w:rPr>
                <w:rFonts w:eastAsia="Calibri"/>
              </w:rPr>
              <w:t>(4)</w:t>
            </w:r>
            <w:r w:rsidRPr="006361B5">
              <w:t xml:space="preserve"> Bakanlık </w:t>
            </w:r>
            <w:r w:rsidRPr="006361B5">
              <w:rPr>
                <w:rFonts w:eastAsia="Calibri"/>
              </w:rPr>
              <w:t>tarafından uygun görülen personelin, onay tarihinden itibaren gerçekleştirilen istihdam giderleri desteklenir.</w:t>
            </w:r>
          </w:p>
          <w:p w:rsidR="00AA35D7" w:rsidRDefault="00AA35D7" w:rsidP="00F81DD9">
            <w:pPr>
              <w:autoSpaceDE w:val="0"/>
              <w:autoSpaceDN w:val="0"/>
              <w:adjustRightInd w:val="0"/>
              <w:jc w:val="both"/>
              <w:rPr>
                <w:rFonts w:eastAsia="Calibri"/>
              </w:rPr>
            </w:pPr>
          </w:p>
          <w:p w:rsidR="00AA35D7" w:rsidRDefault="00AA35D7" w:rsidP="00F81DD9">
            <w:pPr>
              <w:jc w:val="both"/>
              <w:rPr>
                <w:b/>
              </w:rPr>
            </w:pPr>
            <w:r>
              <w:rPr>
                <w:b/>
              </w:rPr>
              <w:t>(5) Aynı binada birden fazla Türkiye Ticaret Merkezi olması halinde, söz konusu binada bulunan en fazla 10 (on) kişinin istihdam giderleri desteklenir.</w:t>
            </w:r>
          </w:p>
          <w:p w:rsidR="00AA35D7" w:rsidRDefault="00AA35D7" w:rsidP="00F81DD9">
            <w:pPr>
              <w:autoSpaceDE w:val="0"/>
              <w:autoSpaceDN w:val="0"/>
              <w:adjustRightInd w:val="0"/>
              <w:jc w:val="both"/>
              <w:rPr>
                <w:rFonts w:eastAsia="Calibri"/>
                <w:b/>
              </w:rPr>
            </w:pPr>
          </w:p>
          <w:p w:rsidR="00AA35D7" w:rsidRPr="00530735" w:rsidRDefault="00AA35D7" w:rsidP="00F81DD9">
            <w:pPr>
              <w:autoSpaceDE w:val="0"/>
              <w:autoSpaceDN w:val="0"/>
              <w:adjustRightInd w:val="0"/>
              <w:jc w:val="both"/>
              <w:rPr>
                <w:rFonts w:eastAsia="Calibri"/>
                <w:b/>
              </w:rPr>
            </w:pPr>
            <w:r>
              <w:rPr>
                <w:rFonts w:eastAsia="Calibri"/>
                <w:b/>
              </w:rPr>
              <w:t>(6</w:t>
            </w:r>
            <w:r w:rsidRPr="00D735E9">
              <w:rPr>
                <w:rFonts w:eastAsia="Calibri"/>
                <w:b/>
              </w:rPr>
              <w:t xml:space="preserve">) Sosyal yardım, </w:t>
            </w:r>
            <w:r>
              <w:rPr>
                <w:rFonts w:eastAsia="Calibri"/>
                <w:b/>
              </w:rPr>
              <w:t xml:space="preserve">sağlık sigortası, </w:t>
            </w:r>
            <w:r w:rsidRPr="00D735E9">
              <w:rPr>
                <w:rFonts w:eastAsia="Calibri"/>
                <w:b/>
              </w:rPr>
              <w:t>prim, ikramiye, yan haklar ve fazla mesai ücreti istihdam gideri kapsamında desteklenmez.</w:t>
            </w:r>
          </w:p>
          <w:p w:rsidR="00AA35D7" w:rsidRPr="006361B5" w:rsidRDefault="00AA35D7" w:rsidP="00F81DD9">
            <w:pPr>
              <w:autoSpaceDE w:val="0"/>
              <w:autoSpaceDN w:val="0"/>
              <w:adjustRightInd w:val="0"/>
              <w:ind w:firstLine="720"/>
              <w:jc w:val="both"/>
              <w:rPr>
                <w:rFonts w:eastAsia="Calibri"/>
              </w:rPr>
            </w:pPr>
          </w:p>
          <w:p w:rsidR="00AA35D7" w:rsidRPr="00D735E9" w:rsidRDefault="00AA35D7" w:rsidP="00F81DD9">
            <w:pPr>
              <w:autoSpaceDE w:val="0"/>
              <w:autoSpaceDN w:val="0"/>
              <w:adjustRightInd w:val="0"/>
              <w:jc w:val="both"/>
              <w:rPr>
                <w:rFonts w:eastAsia="Calibri"/>
                <w:b/>
              </w:rPr>
            </w:pPr>
            <w:r>
              <w:rPr>
                <w:rFonts w:eastAsia="Calibri"/>
                <w:b/>
              </w:rPr>
              <w:t>(7</w:t>
            </w:r>
            <w:r w:rsidRPr="00D735E9">
              <w:rPr>
                <w:rFonts w:eastAsia="Calibri"/>
                <w:b/>
              </w:rPr>
              <w:t>)</w:t>
            </w:r>
            <w:r w:rsidRPr="006361B5">
              <w:rPr>
                <w:rFonts w:eastAsia="Calibri"/>
              </w:rPr>
              <w:t xml:space="preserve"> Kullanıcı şirketler, İşletici Şirkette istihdam edilen personelin hukuk, mali konular, pazarlama ve sunulan diğer hizmetlerinden istifade ederler.</w:t>
            </w:r>
          </w:p>
        </w:tc>
      </w:tr>
      <w:tr w:rsidR="00AA35D7" w:rsidRPr="00583832" w:rsidTr="00AA35D7">
        <w:tc>
          <w:tcPr>
            <w:tcW w:w="6941" w:type="dxa"/>
          </w:tcPr>
          <w:p w:rsidR="00AA35D7" w:rsidRPr="006361B5" w:rsidRDefault="00AA35D7" w:rsidP="00F81DD9">
            <w:pPr>
              <w:spacing w:after="200" w:line="276" w:lineRule="auto"/>
              <w:jc w:val="both"/>
              <w:rPr>
                <w:rFonts w:eastAsia="Calibri"/>
              </w:rPr>
            </w:pPr>
            <w:r w:rsidRPr="006361B5">
              <w:rPr>
                <w:rFonts w:eastAsia="Calibri"/>
                <w:b/>
              </w:rPr>
              <w:lastRenderedPageBreak/>
              <w:t>MADDE 2</w:t>
            </w:r>
            <w:r>
              <w:rPr>
                <w:rFonts w:eastAsia="Calibri"/>
                <w:b/>
              </w:rPr>
              <w:t>2</w:t>
            </w:r>
            <w:r w:rsidRPr="006361B5">
              <w:rPr>
                <w:rFonts w:eastAsia="Calibri"/>
                <w:b/>
              </w:rPr>
              <w:t xml:space="preserve"> </w:t>
            </w:r>
            <w:r w:rsidRPr="006361B5">
              <w:rPr>
                <w:rFonts w:eastAsia="Calibri"/>
              </w:rPr>
              <w:t xml:space="preserve">(1) İşletici Şirketin Kullanıcı Şirketlere uygulayacağı kira tarifesi </w:t>
            </w:r>
            <w:r w:rsidRPr="006361B5">
              <w:t>Bakanlığa</w:t>
            </w:r>
            <w:r w:rsidRPr="006361B5">
              <w:rPr>
                <w:rFonts w:eastAsia="Calibri"/>
              </w:rPr>
              <w:t xml:space="preserve"> ve Ticaret Müşavirliğine/Ataşeliğine bildirilir. </w:t>
            </w:r>
          </w:p>
          <w:p w:rsidR="00AA35D7" w:rsidRPr="00B13503" w:rsidRDefault="00AA35D7" w:rsidP="00AD26B7">
            <w:pPr>
              <w:autoSpaceDE w:val="0"/>
              <w:autoSpaceDN w:val="0"/>
              <w:adjustRightInd w:val="0"/>
              <w:jc w:val="both"/>
              <w:rPr>
                <w:rFonts w:eastAsia="Calibri"/>
                <w:strike/>
              </w:rPr>
            </w:pPr>
            <w:r w:rsidRPr="007D58FE">
              <w:rPr>
                <w:rFonts w:eastAsia="Calibri"/>
                <w:strike/>
              </w:rPr>
              <w:t>(2)</w:t>
            </w:r>
            <w:r w:rsidRPr="007D58FE">
              <w:rPr>
                <w:rFonts w:eastAsia="Calibri"/>
                <w:b/>
                <w:strike/>
              </w:rPr>
              <w:t xml:space="preserve"> </w:t>
            </w:r>
            <w:r w:rsidRPr="007D58FE">
              <w:rPr>
                <w:rFonts w:eastAsia="Calibri"/>
                <w:strike/>
              </w:rPr>
              <w:t xml:space="preserve"> Desteğe konu kira tutarı, </w:t>
            </w:r>
            <w:r w:rsidRPr="00AD26B7">
              <w:rPr>
                <w:rFonts w:eastAsia="Calibri"/>
                <w:strike/>
                <w:color w:val="000000"/>
              </w:rPr>
              <w:t xml:space="preserve">2006/4 sayılı Tebliğ </w:t>
            </w:r>
            <w:r w:rsidRPr="00DE0C1C">
              <w:rPr>
                <w:rFonts w:eastAsia="Calibri"/>
                <w:strike/>
              </w:rPr>
              <w:t xml:space="preserve">kapsamındaki şirketler </w:t>
            </w:r>
            <w:r w:rsidRPr="007D58FE">
              <w:rPr>
                <w:rFonts w:eastAsia="Calibri"/>
                <w:strike/>
              </w:rPr>
              <w:t>için ayrılan alanlar düşülerek hesaplanır.</w:t>
            </w:r>
          </w:p>
        </w:tc>
        <w:tc>
          <w:tcPr>
            <w:tcW w:w="7229" w:type="dxa"/>
          </w:tcPr>
          <w:p w:rsidR="00AA35D7" w:rsidRPr="006361B5" w:rsidRDefault="00AA35D7" w:rsidP="00F81DD9">
            <w:pPr>
              <w:spacing w:after="200" w:line="276" w:lineRule="auto"/>
              <w:jc w:val="both"/>
              <w:rPr>
                <w:rFonts w:eastAsia="Calibri"/>
              </w:rPr>
            </w:pPr>
            <w:r w:rsidRPr="006361B5">
              <w:rPr>
                <w:rFonts w:eastAsia="Calibri"/>
                <w:b/>
              </w:rPr>
              <w:t>MADDE 2</w:t>
            </w:r>
            <w:r>
              <w:rPr>
                <w:rFonts w:eastAsia="Calibri"/>
                <w:b/>
              </w:rPr>
              <w:t>2</w:t>
            </w:r>
            <w:r w:rsidRPr="006361B5">
              <w:rPr>
                <w:rFonts w:eastAsia="Calibri"/>
                <w:b/>
              </w:rPr>
              <w:t xml:space="preserve"> </w:t>
            </w:r>
            <w:r w:rsidRPr="006361B5">
              <w:rPr>
                <w:rFonts w:eastAsia="Calibri"/>
              </w:rPr>
              <w:t xml:space="preserve">(1) İşletici Şirketin Kullanıcı Şirketlere uygulayacağı kira tarifesi </w:t>
            </w:r>
            <w:r w:rsidRPr="006361B5">
              <w:t>Bakanlığa</w:t>
            </w:r>
            <w:r w:rsidRPr="006361B5">
              <w:rPr>
                <w:rFonts w:eastAsia="Calibri"/>
              </w:rPr>
              <w:t xml:space="preserve"> ve Ticaret Müşavirliğine/Ataşeliğine bildirilir. </w:t>
            </w:r>
          </w:p>
          <w:p w:rsidR="00AA35D7" w:rsidRPr="006361B5" w:rsidRDefault="00AA35D7" w:rsidP="00F81DD9">
            <w:pPr>
              <w:autoSpaceDE w:val="0"/>
              <w:autoSpaceDN w:val="0"/>
              <w:adjustRightInd w:val="0"/>
              <w:jc w:val="both"/>
              <w:rPr>
                <w:rFonts w:eastAsia="Calibri"/>
                <w:b/>
              </w:rPr>
            </w:pPr>
          </w:p>
        </w:tc>
      </w:tr>
      <w:tr w:rsidR="00AA35D7" w:rsidRPr="00583832" w:rsidTr="00AA35D7">
        <w:tc>
          <w:tcPr>
            <w:tcW w:w="6941" w:type="dxa"/>
          </w:tcPr>
          <w:p w:rsidR="00AA35D7" w:rsidRPr="006361B5" w:rsidRDefault="00AA35D7" w:rsidP="00F81DD9">
            <w:pPr>
              <w:spacing w:after="120"/>
              <w:jc w:val="both"/>
            </w:pPr>
            <w:r w:rsidRPr="006361B5">
              <w:rPr>
                <w:rFonts w:eastAsia="Calibri"/>
                <w:b/>
              </w:rPr>
              <w:t>MADDE 2</w:t>
            </w:r>
            <w:r>
              <w:rPr>
                <w:rFonts w:eastAsia="Calibri"/>
                <w:b/>
              </w:rPr>
              <w:t>4</w:t>
            </w:r>
            <w:r w:rsidRPr="006361B5">
              <w:rPr>
                <w:rFonts w:eastAsia="Calibri"/>
                <w:b/>
              </w:rPr>
              <w:t xml:space="preserve"> </w:t>
            </w:r>
            <w:r w:rsidRPr="006361B5">
              <w:rPr>
                <w:b/>
              </w:rPr>
              <w:t>-</w:t>
            </w:r>
            <w:r w:rsidRPr="006361B5">
              <w:t xml:space="preserve">  (1)</w:t>
            </w:r>
            <w:r w:rsidRPr="006361B5">
              <w:rPr>
                <w:b/>
              </w:rPr>
              <w:t xml:space="preserve"> </w:t>
            </w:r>
            <w:r w:rsidRPr="006361B5">
              <w:t>Şirketlerin kira, tanıtım ve marka tescil harcamalarına ilişkin destek başvuruları başvuruda bulunulan İBGS tarafından, İşbirliği Kuruluşlarının kira ve tanıtım harcamalarına ilişkin destek başvuruları ile</w:t>
            </w:r>
            <w:r w:rsidRPr="006361B5">
              <w:rPr>
                <w:b/>
              </w:rPr>
              <w:t xml:space="preserve"> </w:t>
            </w:r>
            <w:r w:rsidRPr="006361B5">
              <w:t xml:space="preserve">Türkiye Ticaret Merkezine ilişkin harcamalarla ilgili başvurular Bakanlık tarafından sonuçlandırılır. </w:t>
            </w:r>
          </w:p>
          <w:p w:rsidR="00AA35D7" w:rsidRPr="00781705" w:rsidRDefault="00AA35D7" w:rsidP="00F81DD9">
            <w:pPr>
              <w:jc w:val="both"/>
              <w:rPr>
                <w:strike/>
              </w:rPr>
            </w:pPr>
            <w:r w:rsidRPr="006361B5">
              <w:t>(</w:t>
            </w:r>
            <w:r w:rsidRPr="00781705">
              <w:rPr>
                <w:strike/>
              </w:rPr>
              <w:t xml:space="preserve">2) Kira desteğinin başlangıç tarihi olarak destek verilen ilk ay esas alınır. İlgili birimin desteği söz konusu aydan başlar ve 48 ay sonra biter. </w:t>
            </w:r>
          </w:p>
          <w:p w:rsidR="00AA35D7" w:rsidRPr="006361B5" w:rsidRDefault="00AA35D7" w:rsidP="00F81DD9">
            <w:pPr>
              <w:jc w:val="both"/>
            </w:pPr>
          </w:p>
          <w:p w:rsidR="00AA35D7" w:rsidRPr="008568D8" w:rsidRDefault="00AA35D7" w:rsidP="00F81DD9">
            <w:pPr>
              <w:jc w:val="both"/>
              <w:rPr>
                <w:strike/>
              </w:rPr>
            </w:pPr>
            <w:r w:rsidRPr="007D58FE">
              <w:rPr>
                <w:strike/>
              </w:rPr>
              <w:t>(3)  Destek kapsamındaki şirketlerin yurtiçi veya yurtdışı ortaklık yapıları ile İşbirliği Kuruluşlarının yurtdışında kurduğu şirketin, veya işletici şirketin ortaklık yapılarının destek oranının azalmasını ya da desteğin sonra ermesini gerektirecek şekilde değişmesi halinde değişiklik tarihinden itibaren 3 (üç) ay içerisinde şirketlerin üyesi oldukları İBGS’ye, İşbirliği Kuruluşlarının ise Bakanlığa bildirim yapmaları gerekir. Belirtilen şekilde ortaklık yapısı değiştiği ve 3 (üç) ay içerisinde bildirimde bulunmadığı tespit edilen şirketler/İşbirliği Kuruluşları destek kapsamından çıkarılır ve bekleyen başvuru dosyaları des</w:t>
            </w:r>
            <w:r>
              <w:rPr>
                <w:strike/>
              </w:rPr>
              <w:t>tek kapsamında değerlendirilmez.</w:t>
            </w:r>
          </w:p>
        </w:tc>
        <w:tc>
          <w:tcPr>
            <w:tcW w:w="7229" w:type="dxa"/>
          </w:tcPr>
          <w:p w:rsidR="00AA35D7" w:rsidRPr="006361B5" w:rsidRDefault="00AA35D7" w:rsidP="00F81DD9">
            <w:pPr>
              <w:spacing w:after="120"/>
              <w:jc w:val="both"/>
            </w:pPr>
            <w:r w:rsidRPr="006361B5">
              <w:rPr>
                <w:rFonts w:eastAsia="Calibri"/>
                <w:b/>
              </w:rPr>
              <w:t>MADDE 2</w:t>
            </w:r>
            <w:r>
              <w:rPr>
                <w:rFonts w:eastAsia="Calibri"/>
                <w:b/>
              </w:rPr>
              <w:t>4</w:t>
            </w:r>
            <w:r w:rsidRPr="006361B5">
              <w:rPr>
                <w:rFonts w:eastAsia="Calibri"/>
                <w:b/>
              </w:rPr>
              <w:t xml:space="preserve"> </w:t>
            </w:r>
            <w:r w:rsidRPr="006361B5">
              <w:rPr>
                <w:b/>
              </w:rPr>
              <w:t>-</w:t>
            </w:r>
            <w:r w:rsidRPr="006361B5">
              <w:t xml:space="preserve">  (1)</w:t>
            </w:r>
            <w:r w:rsidRPr="006361B5">
              <w:rPr>
                <w:b/>
              </w:rPr>
              <w:t xml:space="preserve"> </w:t>
            </w:r>
            <w:r w:rsidRPr="006361B5">
              <w:t>Şirketlerin kira, tanıtım ve marka tescil harcamalarına ilişkin destek başvuruları başvuruda bulunulan İBGS tarafından, İşbirliği Kuruluşlarının kira ve tanıtım harcamalarına ilişkin destek başvuruları ile</w:t>
            </w:r>
            <w:r w:rsidRPr="006361B5">
              <w:rPr>
                <w:b/>
              </w:rPr>
              <w:t xml:space="preserve"> </w:t>
            </w:r>
            <w:r w:rsidRPr="006361B5">
              <w:t xml:space="preserve">Türkiye Ticaret Merkezine ilişkin harcamalarla ilgili başvurular Bakanlık tarafından sonuçlandırılır. </w:t>
            </w:r>
          </w:p>
          <w:p w:rsidR="00AA35D7" w:rsidRDefault="00AA35D7" w:rsidP="00F81DD9">
            <w:pPr>
              <w:jc w:val="both"/>
              <w:rPr>
                <w:color w:val="000000"/>
                <w:szCs w:val="18"/>
              </w:rPr>
            </w:pPr>
          </w:p>
          <w:p w:rsidR="00AA35D7" w:rsidRPr="002E447B" w:rsidRDefault="00AA35D7" w:rsidP="00F81DD9">
            <w:pPr>
              <w:jc w:val="both"/>
            </w:pPr>
            <w:r w:rsidRPr="002E447B">
              <w:rPr>
                <w:b/>
              </w:rPr>
              <w:t xml:space="preserve"> (</w:t>
            </w:r>
            <w:r>
              <w:rPr>
                <w:b/>
              </w:rPr>
              <w:t>2</w:t>
            </w:r>
            <w:r w:rsidRPr="002E447B">
              <w:rPr>
                <w:b/>
              </w:rPr>
              <w:t xml:space="preserve">) </w:t>
            </w:r>
            <w:r>
              <w:rPr>
                <w:b/>
              </w:rPr>
              <w:t>Destek kapsamındaki şirketin y</w:t>
            </w:r>
            <w:r w:rsidRPr="002E447B">
              <w:rPr>
                <w:b/>
              </w:rPr>
              <w:t>urt içi ortaklık yapısını</w:t>
            </w:r>
            <w:r w:rsidRPr="00F87900">
              <w:rPr>
                <w:b/>
              </w:rPr>
              <w:t>n</w:t>
            </w:r>
            <w:r w:rsidRPr="00F87900">
              <w:t xml:space="preserve"> </w:t>
            </w:r>
            <w:r w:rsidRPr="002E447B">
              <w:rPr>
                <w:b/>
              </w:rPr>
              <w:t>değişmesi halinde</w:t>
            </w:r>
            <w:r>
              <w:rPr>
                <w:b/>
              </w:rPr>
              <w:t>,</w:t>
            </w:r>
            <w:r w:rsidRPr="002E447B">
              <w:rPr>
                <w:b/>
              </w:rPr>
              <w:t xml:space="preserve"> değişiklik tarihinden itibaren </w:t>
            </w:r>
            <w:r>
              <w:rPr>
                <w:b/>
              </w:rPr>
              <w:t>1</w:t>
            </w:r>
            <w:r w:rsidRPr="002E447B">
              <w:rPr>
                <w:b/>
              </w:rPr>
              <w:t xml:space="preserve"> (</w:t>
            </w:r>
            <w:r>
              <w:rPr>
                <w:b/>
              </w:rPr>
              <w:t>bir</w:t>
            </w:r>
            <w:r w:rsidRPr="002E447B">
              <w:rPr>
                <w:b/>
              </w:rPr>
              <w:t>) ay içerisinde</w:t>
            </w:r>
            <w:r>
              <w:rPr>
                <w:b/>
              </w:rPr>
              <w:t xml:space="preserve"> şirketlerin İBGS </w:t>
            </w:r>
            <w:r w:rsidRPr="002E447B">
              <w:rPr>
                <w:b/>
              </w:rPr>
              <w:t>ve Ticaret Müşaviri/Ataşesi/Bakanlık Temsilcisin</w:t>
            </w:r>
            <w:r>
              <w:rPr>
                <w:b/>
              </w:rPr>
              <w:t>e yazılı olarak bildirim yapmaları gerekir.</w:t>
            </w:r>
            <w:r w:rsidRPr="002E447B">
              <w:rPr>
                <w:b/>
              </w:rPr>
              <w:t xml:space="preserve"> </w:t>
            </w:r>
            <w:r>
              <w:rPr>
                <w:b/>
              </w:rPr>
              <w:t xml:space="preserve">Söz konusu bildirimin yapılmaması </w:t>
            </w:r>
            <w:r w:rsidRPr="002E447B">
              <w:rPr>
                <w:b/>
              </w:rPr>
              <w:t>durumunda</w:t>
            </w:r>
            <w:r>
              <w:rPr>
                <w:b/>
              </w:rPr>
              <w:t xml:space="preserve">, ortaklık yapısı değişikliğinden dolayı haksız olarak yapıldığı tespit edilen ödemeler geri alınır. İlgili birime ilişkin ödemesi henüz gerçekleştirilmeyen başvurular ile müteakip başvurular yeni ortaklık yapısına göre hesaplanan destek oranından desteklenmeye devam olunur.  </w:t>
            </w:r>
          </w:p>
          <w:p w:rsidR="00AA35D7" w:rsidRPr="006361B5" w:rsidRDefault="00AA35D7" w:rsidP="00F81DD9">
            <w:pPr>
              <w:jc w:val="both"/>
              <w:rPr>
                <w:rFonts w:eastAsia="Calibri"/>
                <w:b/>
              </w:rPr>
            </w:pPr>
          </w:p>
        </w:tc>
      </w:tr>
      <w:tr w:rsidR="00AA35D7" w:rsidRPr="00583832" w:rsidTr="00AA35D7">
        <w:tc>
          <w:tcPr>
            <w:tcW w:w="6941" w:type="dxa"/>
          </w:tcPr>
          <w:p w:rsidR="00AA35D7" w:rsidRPr="008568D8" w:rsidRDefault="00AA35D7" w:rsidP="00F81DD9">
            <w:pPr>
              <w:jc w:val="both"/>
            </w:pPr>
            <w:r w:rsidRPr="00583832">
              <w:rPr>
                <w:rFonts w:eastAsia="Calibri"/>
                <w:b/>
              </w:rPr>
              <w:t>MADDE 2</w:t>
            </w:r>
            <w:r>
              <w:rPr>
                <w:rFonts w:eastAsia="Calibri"/>
                <w:b/>
              </w:rPr>
              <w:t>7</w:t>
            </w:r>
            <w:r w:rsidRPr="00583832">
              <w:rPr>
                <w:rFonts w:eastAsia="Calibri"/>
                <w:b/>
              </w:rPr>
              <w:t xml:space="preserve"> </w:t>
            </w:r>
            <w:r w:rsidRPr="00583832">
              <w:rPr>
                <w:b/>
              </w:rPr>
              <w:t xml:space="preserve">- </w:t>
            </w:r>
            <w:r w:rsidRPr="008568D8">
              <w:t xml:space="preserve">(1) 2010/6 sayılı Tebliğ kapsamında şirketler ve </w:t>
            </w:r>
            <w:r w:rsidRPr="008568D8">
              <w:lastRenderedPageBreak/>
              <w:t xml:space="preserve">İşbirliği Kuruluşları tarafından yapılan kira destek başvurularında harcamaya ilişkin sözleşme ve ödeme belgesi; tanıtım destek başvurularında harcamaya ilişkin sözleşme </w:t>
            </w:r>
            <w:r>
              <w:rPr>
                <w:strike/>
              </w:rPr>
              <w:t>(10.000 ABD Doları ve üzeri)</w:t>
            </w:r>
            <w:r w:rsidRPr="000B5F6E">
              <w:t>,</w:t>
            </w:r>
            <w:r w:rsidRPr="008568D8">
              <w:t xml:space="preserve"> fatura ve ödeme belgesi; yurt dışı marka tescil destek başvurularında ise harcamaya ilişkin fatura ve ödeme belgesi zorunlu belgelerdir.</w:t>
            </w:r>
          </w:p>
          <w:p w:rsidR="00AA35D7" w:rsidRPr="008568D8" w:rsidRDefault="00AA35D7" w:rsidP="00F81DD9">
            <w:pPr>
              <w:jc w:val="both"/>
            </w:pPr>
          </w:p>
          <w:p w:rsidR="00AA35D7" w:rsidRPr="00B13503" w:rsidRDefault="00AA35D7" w:rsidP="00F81DD9">
            <w:pPr>
              <w:jc w:val="both"/>
            </w:pPr>
            <w:r w:rsidRPr="008568D8">
              <w:t xml:space="preserve"> (2) Başvuru sırasında zorunlu olarak bulunması gereken belgelerde veya </w:t>
            </w:r>
            <w:r w:rsidRPr="008568D8">
              <w:rPr>
                <w:bCs/>
                <w:szCs w:val="18"/>
              </w:rPr>
              <w:t>söz konusu belgelerde yer alması gereken Ticaret Müşaviri/Ataşesi/Bakanlık Temsilcisi onayında</w:t>
            </w:r>
            <w:r w:rsidRPr="008568D8">
              <w:t xml:space="preserve"> eksiklik olması halinde söz konusu harcama için eksik belge işlemi uygulanmaz ve destek başvurusu reddedilir. Diğer belgeler için eksik belge işlemi uygulanır.</w:t>
            </w:r>
          </w:p>
        </w:tc>
        <w:tc>
          <w:tcPr>
            <w:tcW w:w="7229" w:type="dxa"/>
          </w:tcPr>
          <w:p w:rsidR="00AA35D7" w:rsidRPr="008568D8" w:rsidRDefault="00AA35D7" w:rsidP="00F81DD9">
            <w:pPr>
              <w:jc w:val="both"/>
            </w:pPr>
            <w:r w:rsidRPr="00583832">
              <w:rPr>
                <w:rFonts w:eastAsia="Calibri"/>
                <w:b/>
              </w:rPr>
              <w:lastRenderedPageBreak/>
              <w:t>MADDE 2</w:t>
            </w:r>
            <w:r>
              <w:rPr>
                <w:rFonts w:eastAsia="Calibri"/>
                <w:b/>
              </w:rPr>
              <w:t>7</w:t>
            </w:r>
            <w:r w:rsidRPr="00583832">
              <w:rPr>
                <w:rFonts w:eastAsia="Calibri"/>
                <w:b/>
              </w:rPr>
              <w:t xml:space="preserve"> </w:t>
            </w:r>
            <w:r w:rsidRPr="00583832">
              <w:rPr>
                <w:b/>
              </w:rPr>
              <w:t xml:space="preserve">- </w:t>
            </w:r>
            <w:r w:rsidRPr="008568D8">
              <w:t xml:space="preserve">(1) 2010/6 sayılı Tebliğ kapsamında şirketler ve İşbirliği </w:t>
            </w:r>
            <w:r w:rsidRPr="008568D8">
              <w:lastRenderedPageBreak/>
              <w:t xml:space="preserve">Kuruluşları tarafından yapılan kira destek başvurularında harcamaya ilişkin sözleşme ve ödeme belgesi; tanıtım destek başvurularında harcamaya ilişkin sözleşme </w:t>
            </w:r>
            <w:r w:rsidRPr="000B5F6E">
              <w:rPr>
                <w:b/>
              </w:rPr>
              <w:t>(Genelgenin 15 nci maddesi çerçevesinde)</w:t>
            </w:r>
            <w:r w:rsidRPr="008568D8">
              <w:t>, fatura ve ödeme belgesi; yurt dışı marka tescil destek başvurularında ise harcamaya ilişkin fatura ve ödeme belgesi zorunlu belgelerdir.</w:t>
            </w:r>
          </w:p>
          <w:p w:rsidR="00AA35D7" w:rsidRPr="008568D8" w:rsidRDefault="00AA35D7" w:rsidP="00F81DD9">
            <w:pPr>
              <w:jc w:val="both"/>
            </w:pPr>
          </w:p>
          <w:p w:rsidR="00AA35D7" w:rsidRPr="00B13503" w:rsidRDefault="00AA35D7" w:rsidP="00F81DD9">
            <w:pPr>
              <w:jc w:val="both"/>
            </w:pPr>
            <w:r w:rsidRPr="008568D8">
              <w:t xml:space="preserve"> (2) Başvuru sırasında zorunlu olarak bulunması gereken belgelerde veya </w:t>
            </w:r>
            <w:r w:rsidRPr="008568D8">
              <w:rPr>
                <w:bCs/>
                <w:szCs w:val="18"/>
              </w:rPr>
              <w:t>söz konusu belgelerde yer alması gereken Ticaret Müşaviri/Ataşesi/Bakanlık Temsilcisi onayında</w:t>
            </w:r>
            <w:r w:rsidRPr="008568D8">
              <w:t xml:space="preserve"> eksiklik olması halinde söz konusu harcama için eksik belge işlemi uygulanmaz ve destek başvurusu reddedilir. Diğer belgeler iç</w:t>
            </w:r>
            <w:r>
              <w:t>in eksik belge işlemi uygulanır.</w:t>
            </w:r>
          </w:p>
        </w:tc>
      </w:tr>
    </w:tbl>
    <w:p w:rsidR="0037288B" w:rsidRPr="00583832" w:rsidRDefault="0037288B" w:rsidP="00AB4B8A">
      <w:pPr>
        <w:jc w:val="center"/>
      </w:pPr>
    </w:p>
    <w:sectPr w:rsidR="0037288B" w:rsidRPr="00583832" w:rsidSect="00371B35">
      <w:footerReference w:type="default" r:id="rId8"/>
      <w:pgSz w:w="16838" w:h="11906" w:orient="landscape"/>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C1" w:rsidRDefault="00331CC1" w:rsidP="00371B35">
      <w:r>
        <w:separator/>
      </w:r>
    </w:p>
  </w:endnote>
  <w:endnote w:type="continuationSeparator" w:id="0">
    <w:p w:rsidR="00331CC1" w:rsidRDefault="00331CC1" w:rsidP="0037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5846"/>
      <w:docPartObj>
        <w:docPartGallery w:val="Page Numbers (Bottom of Page)"/>
        <w:docPartUnique/>
      </w:docPartObj>
    </w:sdtPr>
    <w:sdtEndPr/>
    <w:sdtContent>
      <w:p w:rsidR="009E45AF" w:rsidRDefault="009E45AF">
        <w:pPr>
          <w:pStyle w:val="Altbilgi"/>
          <w:jc w:val="center"/>
        </w:pPr>
        <w:r>
          <w:fldChar w:fldCharType="begin"/>
        </w:r>
        <w:r>
          <w:instrText>PAGE   \* MERGEFORMAT</w:instrText>
        </w:r>
        <w:r>
          <w:fldChar w:fldCharType="separate"/>
        </w:r>
        <w:r w:rsidR="008355E9">
          <w:rPr>
            <w:noProof/>
          </w:rPr>
          <w:t>2</w:t>
        </w:r>
        <w:r>
          <w:fldChar w:fldCharType="end"/>
        </w:r>
        <w:r>
          <w:t>/</w:t>
        </w:r>
        <w:r w:rsidR="00AA35D7">
          <w:t>5</w:t>
        </w:r>
      </w:p>
    </w:sdtContent>
  </w:sdt>
  <w:p w:rsidR="009E45AF" w:rsidRDefault="009E45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C1" w:rsidRDefault="00331CC1" w:rsidP="00371B35">
      <w:r>
        <w:separator/>
      </w:r>
    </w:p>
  </w:footnote>
  <w:footnote w:type="continuationSeparator" w:id="0">
    <w:p w:rsidR="00331CC1" w:rsidRDefault="00331CC1" w:rsidP="00371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139"/>
    <w:multiLevelType w:val="hybridMultilevel"/>
    <w:tmpl w:val="DF70848A"/>
    <w:lvl w:ilvl="0" w:tplc="357AEFF4">
      <w:start w:val="1"/>
      <w:numFmt w:val="bullet"/>
      <w:lvlText w:val=""/>
      <w:lvlJc w:val="left"/>
      <w:pPr>
        <w:tabs>
          <w:tab w:val="num" w:pos="720"/>
        </w:tabs>
        <w:ind w:left="720" w:hanging="360"/>
      </w:pPr>
      <w:rPr>
        <w:rFonts w:ascii="Wingdings" w:hAnsi="Wingdings" w:hint="default"/>
      </w:rPr>
    </w:lvl>
    <w:lvl w:ilvl="1" w:tplc="FAEE3292" w:tentative="1">
      <w:start w:val="1"/>
      <w:numFmt w:val="bullet"/>
      <w:lvlText w:val=""/>
      <w:lvlJc w:val="left"/>
      <w:pPr>
        <w:tabs>
          <w:tab w:val="num" w:pos="1440"/>
        </w:tabs>
        <w:ind w:left="1440" w:hanging="360"/>
      </w:pPr>
      <w:rPr>
        <w:rFonts w:ascii="Wingdings" w:hAnsi="Wingdings" w:hint="default"/>
      </w:rPr>
    </w:lvl>
    <w:lvl w:ilvl="2" w:tplc="6F4E7DD0" w:tentative="1">
      <w:start w:val="1"/>
      <w:numFmt w:val="bullet"/>
      <w:lvlText w:val=""/>
      <w:lvlJc w:val="left"/>
      <w:pPr>
        <w:tabs>
          <w:tab w:val="num" w:pos="2160"/>
        </w:tabs>
        <w:ind w:left="2160" w:hanging="360"/>
      </w:pPr>
      <w:rPr>
        <w:rFonts w:ascii="Wingdings" w:hAnsi="Wingdings" w:hint="default"/>
      </w:rPr>
    </w:lvl>
    <w:lvl w:ilvl="3" w:tplc="37788352" w:tentative="1">
      <w:start w:val="1"/>
      <w:numFmt w:val="bullet"/>
      <w:lvlText w:val=""/>
      <w:lvlJc w:val="left"/>
      <w:pPr>
        <w:tabs>
          <w:tab w:val="num" w:pos="2880"/>
        </w:tabs>
        <w:ind w:left="2880" w:hanging="360"/>
      </w:pPr>
      <w:rPr>
        <w:rFonts w:ascii="Wingdings" w:hAnsi="Wingdings" w:hint="default"/>
      </w:rPr>
    </w:lvl>
    <w:lvl w:ilvl="4" w:tplc="4EB04400" w:tentative="1">
      <w:start w:val="1"/>
      <w:numFmt w:val="bullet"/>
      <w:lvlText w:val=""/>
      <w:lvlJc w:val="left"/>
      <w:pPr>
        <w:tabs>
          <w:tab w:val="num" w:pos="3600"/>
        </w:tabs>
        <w:ind w:left="3600" w:hanging="360"/>
      </w:pPr>
      <w:rPr>
        <w:rFonts w:ascii="Wingdings" w:hAnsi="Wingdings" w:hint="default"/>
      </w:rPr>
    </w:lvl>
    <w:lvl w:ilvl="5" w:tplc="03146E7A" w:tentative="1">
      <w:start w:val="1"/>
      <w:numFmt w:val="bullet"/>
      <w:lvlText w:val=""/>
      <w:lvlJc w:val="left"/>
      <w:pPr>
        <w:tabs>
          <w:tab w:val="num" w:pos="4320"/>
        </w:tabs>
        <w:ind w:left="4320" w:hanging="360"/>
      </w:pPr>
      <w:rPr>
        <w:rFonts w:ascii="Wingdings" w:hAnsi="Wingdings" w:hint="default"/>
      </w:rPr>
    </w:lvl>
    <w:lvl w:ilvl="6" w:tplc="DB18E2BC" w:tentative="1">
      <w:start w:val="1"/>
      <w:numFmt w:val="bullet"/>
      <w:lvlText w:val=""/>
      <w:lvlJc w:val="left"/>
      <w:pPr>
        <w:tabs>
          <w:tab w:val="num" w:pos="5040"/>
        </w:tabs>
        <w:ind w:left="5040" w:hanging="360"/>
      </w:pPr>
      <w:rPr>
        <w:rFonts w:ascii="Wingdings" w:hAnsi="Wingdings" w:hint="default"/>
      </w:rPr>
    </w:lvl>
    <w:lvl w:ilvl="7" w:tplc="C074C94E" w:tentative="1">
      <w:start w:val="1"/>
      <w:numFmt w:val="bullet"/>
      <w:lvlText w:val=""/>
      <w:lvlJc w:val="left"/>
      <w:pPr>
        <w:tabs>
          <w:tab w:val="num" w:pos="5760"/>
        </w:tabs>
        <w:ind w:left="5760" w:hanging="360"/>
      </w:pPr>
      <w:rPr>
        <w:rFonts w:ascii="Wingdings" w:hAnsi="Wingdings" w:hint="default"/>
      </w:rPr>
    </w:lvl>
    <w:lvl w:ilvl="8" w:tplc="458A2D5E" w:tentative="1">
      <w:start w:val="1"/>
      <w:numFmt w:val="bullet"/>
      <w:lvlText w:val=""/>
      <w:lvlJc w:val="left"/>
      <w:pPr>
        <w:tabs>
          <w:tab w:val="num" w:pos="6480"/>
        </w:tabs>
        <w:ind w:left="6480" w:hanging="360"/>
      </w:pPr>
      <w:rPr>
        <w:rFonts w:ascii="Wingdings" w:hAnsi="Wingdings" w:hint="default"/>
      </w:rPr>
    </w:lvl>
  </w:abstractNum>
  <w:abstractNum w:abstractNumId="1">
    <w:nsid w:val="0ACF5337"/>
    <w:multiLevelType w:val="hybridMultilevel"/>
    <w:tmpl w:val="4A064A3C"/>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F95046F"/>
    <w:multiLevelType w:val="hybridMultilevel"/>
    <w:tmpl w:val="21480EB0"/>
    <w:lvl w:ilvl="0" w:tplc="EF3EADD8">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BC210F9"/>
    <w:multiLevelType w:val="hybridMultilevel"/>
    <w:tmpl w:val="9230B534"/>
    <w:lvl w:ilvl="0" w:tplc="140693D6">
      <w:start w:val="1"/>
      <w:numFmt w:val="lowerLetter"/>
      <w:lvlText w:val="%1)"/>
      <w:lvlJc w:val="left"/>
      <w:pPr>
        <w:ind w:left="36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BE97067"/>
    <w:multiLevelType w:val="hybridMultilevel"/>
    <w:tmpl w:val="AEEE79FE"/>
    <w:lvl w:ilvl="0" w:tplc="B284DE10">
      <w:start w:val="1"/>
      <w:numFmt w:val="upperLetter"/>
      <w:lvlText w:val="%1-"/>
      <w:lvlJc w:val="left"/>
      <w:pPr>
        <w:tabs>
          <w:tab w:val="num" w:pos="720"/>
        </w:tabs>
        <w:ind w:left="720" w:hanging="360"/>
      </w:pPr>
      <w:rPr>
        <w:rFonts w:hint="default"/>
      </w:rPr>
    </w:lvl>
    <w:lvl w:ilvl="1" w:tplc="041F0017">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F344D19"/>
    <w:multiLevelType w:val="hybridMultilevel"/>
    <w:tmpl w:val="E7A0A6C8"/>
    <w:lvl w:ilvl="0" w:tplc="9D206520">
      <w:start w:val="1"/>
      <w:numFmt w:val="decimal"/>
      <w:lvlText w:val="%1."/>
      <w:lvlJc w:val="left"/>
      <w:pPr>
        <w:tabs>
          <w:tab w:val="num" w:pos="720"/>
        </w:tabs>
        <w:ind w:left="720" w:hanging="360"/>
      </w:pPr>
      <w:rPr>
        <w:rFonts w:hint="default"/>
        <w:b/>
        <w:i w:val="0"/>
      </w:rPr>
    </w:lvl>
    <w:lvl w:ilvl="1" w:tplc="C4C2DF8A">
      <w:start w:val="1"/>
      <w:numFmt w:val="lowerLetter"/>
      <w:lvlText w:val="%2)"/>
      <w:lvlJc w:val="left"/>
      <w:pPr>
        <w:tabs>
          <w:tab w:val="num" w:pos="1440"/>
        </w:tabs>
        <w:ind w:left="1440" w:hanging="360"/>
      </w:pPr>
      <w:rPr>
        <w:rFonts w:hint="default"/>
        <w:b/>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16A281A"/>
    <w:multiLevelType w:val="hybridMultilevel"/>
    <w:tmpl w:val="255491CE"/>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333064E"/>
    <w:multiLevelType w:val="hybridMultilevel"/>
    <w:tmpl w:val="D42AE0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5427CA3"/>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9247B72"/>
    <w:multiLevelType w:val="hybridMultilevel"/>
    <w:tmpl w:val="43A80950"/>
    <w:lvl w:ilvl="0" w:tplc="9D206520">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E11048A"/>
    <w:multiLevelType w:val="hybridMultilevel"/>
    <w:tmpl w:val="CA6C1444"/>
    <w:lvl w:ilvl="0" w:tplc="9D206520">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11246C6"/>
    <w:multiLevelType w:val="hybridMultilevel"/>
    <w:tmpl w:val="56186DF8"/>
    <w:lvl w:ilvl="0" w:tplc="27E6F2CC">
      <w:numFmt w:val="bullet"/>
      <w:lvlText w:val=""/>
      <w:lvlJc w:val="left"/>
      <w:pPr>
        <w:tabs>
          <w:tab w:val="num" w:pos="1068"/>
        </w:tabs>
        <w:ind w:left="1068" w:hanging="360"/>
      </w:pPr>
      <w:rPr>
        <w:rFonts w:ascii="Wingdings" w:eastAsia="Times New Roman" w:hAnsi="Wingdings" w:cs="Tahoma" w:hint="default"/>
      </w:rPr>
    </w:lvl>
    <w:lvl w:ilvl="1" w:tplc="041F0001">
      <w:start w:val="1"/>
      <w:numFmt w:val="bullet"/>
      <w:lvlText w:val=""/>
      <w:lvlJc w:val="left"/>
      <w:pPr>
        <w:tabs>
          <w:tab w:val="num" w:pos="2103"/>
        </w:tabs>
        <w:ind w:left="2103" w:hanging="360"/>
      </w:pPr>
      <w:rPr>
        <w:rFonts w:ascii="Symbol" w:hAnsi="Symbol" w:hint="default"/>
      </w:rPr>
    </w:lvl>
    <w:lvl w:ilvl="2" w:tplc="041F0005" w:tentative="1">
      <w:start w:val="1"/>
      <w:numFmt w:val="bullet"/>
      <w:lvlText w:val=""/>
      <w:lvlJc w:val="left"/>
      <w:pPr>
        <w:tabs>
          <w:tab w:val="num" w:pos="2823"/>
        </w:tabs>
        <w:ind w:left="2823" w:hanging="360"/>
      </w:pPr>
      <w:rPr>
        <w:rFonts w:ascii="Wingdings" w:hAnsi="Wingdings" w:hint="default"/>
      </w:rPr>
    </w:lvl>
    <w:lvl w:ilvl="3" w:tplc="041F0001" w:tentative="1">
      <w:start w:val="1"/>
      <w:numFmt w:val="bullet"/>
      <w:lvlText w:val=""/>
      <w:lvlJc w:val="left"/>
      <w:pPr>
        <w:tabs>
          <w:tab w:val="num" w:pos="3543"/>
        </w:tabs>
        <w:ind w:left="3543" w:hanging="360"/>
      </w:pPr>
      <w:rPr>
        <w:rFonts w:ascii="Symbol" w:hAnsi="Symbol" w:hint="default"/>
      </w:rPr>
    </w:lvl>
    <w:lvl w:ilvl="4" w:tplc="041F0003" w:tentative="1">
      <w:start w:val="1"/>
      <w:numFmt w:val="bullet"/>
      <w:lvlText w:val="o"/>
      <w:lvlJc w:val="left"/>
      <w:pPr>
        <w:tabs>
          <w:tab w:val="num" w:pos="4263"/>
        </w:tabs>
        <w:ind w:left="4263" w:hanging="360"/>
      </w:pPr>
      <w:rPr>
        <w:rFonts w:ascii="Courier New" w:hAnsi="Courier New" w:cs="Courier New" w:hint="default"/>
      </w:rPr>
    </w:lvl>
    <w:lvl w:ilvl="5" w:tplc="041F0005" w:tentative="1">
      <w:start w:val="1"/>
      <w:numFmt w:val="bullet"/>
      <w:lvlText w:val=""/>
      <w:lvlJc w:val="left"/>
      <w:pPr>
        <w:tabs>
          <w:tab w:val="num" w:pos="4983"/>
        </w:tabs>
        <w:ind w:left="4983" w:hanging="360"/>
      </w:pPr>
      <w:rPr>
        <w:rFonts w:ascii="Wingdings" w:hAnsi="Wingdings" w:hint="default"/>
      </w:rPr>
    </w:lvl>
    <w:lvl w:ilvl="6" w:tplc="041F0001" w:tentative="1">
      <w:start w:val="1"/>
      <w:numFmt w:val="bullet"/>
      <w:lvlText w:val=""/>
      <w:lvlJc w:val="left"/>
      <w:pPr>
        <w:tabs>
          <w:tab w:val="num" w:pos="5703"/>
        </w:tabs>
        <w:ind w:left="5703" w:hanging="360"/>
      </w:pPr>
      <w:rPr>
        <w:rFonts w:ascii="Symbol" w:hAnsi="Symbol" w:hint="default"/>
      </w:rPr>
    </w:lvl>
    <w:lvl w:ilvl="7" w:tplc="041F0003" w:tentative="1">
      <w:start w:val="1"/>
      <w:numFmt w:val="bullet"/>
      <w:lvlText w:val="o"/>
      <w:lvlJc w:val="left"/>
      <w:pPr>
        <w:tabs>
          <w:tab w:val="num" w:pos="6423"/>
        </w:tabs>
        <w:ind w:left="6423" w:hanging="360"/>
      </w:pPr>
      <w:rPr>
        <w:rFonts w:ascii="Courier New" w:hAnsi="Courier New" w:cs="Courier New" w:hint="default"/>
      </w:rPr>
    </w:lvl>
    <w:lvl w:ilvl="8" w:tplc="041F0005" w:tentative="1">
      <w:start w:val="1"/>
      <w:numFmt w:val="bullet"/>
      <w:lvlText w:val=""/>
      <w:lvlJc w:val="left"/>
      <w:pPr>
        <w:tabs>
          <w:tab w:val="num" w:pos="7143"/>
        </w:tabs>
        <w:ind w:left="7143" w:hanging="360"/>
      </w:pPr>
      <w:rPr>
        <w:rFonts w:ascii="Wingdings" w:hAnsi="Wingdings" w:hint="default"/>
      </w:rPr>
    </w:lvl>
  </w:abstractNum>
  <w:abstractNum w:abstractNumId="12">
    <w:nsid w:val="39D553A5"/>
    <w:multiLevelType w:val="hybridMultilevel"/>
    <w:tmpl w:val="A6906A54"/>
    <w:lvl w:ilvl="0" w:tplc="041F0001">
      <w:start w:val="1"/>
      <w:numFmt w:val="bullet"/>
      <w:lvlText w:val=""/>
      <w:lvlJc w:val="left"/>
      <w:pPr>
        <w:tabs>
          <w:tab w:val="num" w:pos="360"/>
        </w:tabs>
        <w:ind w:left="360" w:hanging="360"/>
      </w:pPr>
      <w:rPr>
        <w:rFonts w:ascii="Symbol" w:hAnsi="Symbol" w:hint="default"/>
        <w:b/>
        <w:i w:val="0"/>
        <w:color w:val="auto"/>
      </w:rPr>
    </w:lvl>
    <w:lvl w:ilvl="1" w:tplc="041F0001">
      <w:start w:val="1"/>
      <w:numFmt w:val="bullet"/>
      <w:lvlText w:val=""/>
      <w:lvlJc w:val="left"/>
      <w:pPr>
        <w:tabs>
          <w:tab w:val="num" w:pos="720"/>
        </w:tabs>
        <w:ind w:left="720" w:hanging="360"/>
      </w:pPr>
      <w:rPr>
        <w:rFonts w:ascii="Symbol" w:hAnsi="Symbol" w:hint="default"/>
        <w:b/>
        <w:i w:val="0"/>
        <w:color w:val="auto"/>
      </w:rPr>
    </w:lvl>
    <w:lvl w:ilvl="2" w:tplc="041F001B">
      <w:start w:val="1"/>
      <w:numFmt w:val="lowerRoman"/>
      <w:lvlText w:val="%3."/>
      <w:lvlJc w:val="right"/>
      <w:pPr>
        <w:tabs>
          <w:tab w:val="num" w:pos="1440"/>
        </w:tabs>
        <w:ind w:left="1440" w:hanging="180"/>
      </w:pPr>
    </w:lvl>
    <w:lvl w:ilvl="3" w:tplc="041F000F">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13">
    <w:nsid w:val="3D676614"/>
    <w:multiLevelType w:val="hybridMultilevel"/>
    <w:tmpl w:val="CA6C1444"/>
    <w:lvl w:ilvl="0" w:tplc="9D206520">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5CC53F2"/>
    <w:multiLevelType w:val="hybridMultilevel"/>
    <w:tmpl w:val="515C9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2ED1AFE"/>
    <w:multiLevelType w:val="hybridMultilevel"/>
    <w:tmpl w:val="EE389BFA"/>
    <w:lvl w:ilvl="0" w:tplc="00DAEE42">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1694224"/>
    <w:multiLevelType w:val="hybridMultilevel"/>
    <w:tmpl w:val="D42AE0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7C41D13"/>
    <w:multiLevelType w:val="hybridMultilevel"/>
    <w:tmpl w:val="16C618D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68AF52AA"/>
    <w:multiLevelType w:val="hybridMultilevel"/>
    <w:tmpl w:val="F606FAC8"/>
    <w:lvl w:ilvl="0" w:tplc="6978B3AA">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AB44C79"/>
    <w:multiLevelType w:val="hybridMultilevel"/>
    <w:tmpl w:val="E7A0A6C8"/>
    <w:lvl w:ilvl="0" w:tplc="9D206520">
      <w:start w:val="1"/>
      <w:numFmt w:val="decimal"/>
      <w:lvlText w:val="%1."/>
      <w:lvlJc w:val="left"/>
      <w:pPr>
        <w:tabs>
          <w:tab w:val="num" w:pos="720"/>
        </w:tabs>
        <w:ind w:left="720" w:hanging="360"/>
      </w:pPr>
      <w:rPr>
        <w:rFonts w:hint="default"/>
        <w:b/>
        <w:i w:val="0"/>
      </w:rPr>
    </w:lvl>
    <w:lvl w:ilvl="1" w:tplc="C4C2DF8A">
      <w:start w:val="1"/>
      <w:numFmt w:val="lowerLetter"/>
      <w:lvlText w:val="%2)"/>
      <w:lvlJc w:val="left"/>
      <w:pPr>
        <w:tabs>
          <w:tab w:val="num" w:pos="1440"/>
        </w:tabs>
        <w:ind w:left="1440" w:hanging="360"/>
      </w:pPr>
      <w:rPr>
        <w:rFonts w:hint="default"/>
        <w:b/>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B572480"/>
    <w:multiLevelType w:val="hybridMultilevel"/>
    <w:tmpl w:val="9B360354"/>
    <w:lvl w:ilvl="0" w:tplc="27E6F2CC">
      <w:numFmt w:val="bullet"/>
      <w:lvlText w:val=""/>
      <w:lvlJc w:val="left"/>
      <w:pPr>
        <w:tabs>
          <w:tab w:val="num" w:pos="1065"/>
        </w:tabs>
        <w:ind w:left="1065" w:hanging="360"/>
      </w:pPr>
      <w:rPr>
        <w:rFonts w:ascii="Wingdings" w:eastAsia="Times New Roman" w:hAnsi="Wingdings" w:cs="Tahoma" w:hint="default"/>
      </w:rPr>
    </w:lvl>
    <w:lvl w:ilvl="1" w:tplc="041F0003" w:tentative="1">
      <w:start w:val="1"/>
      <w:numFmt w:val="bullet"/>
      <w:lvlText w:val="o"/>
      <w:lvlJc w:val="left"/>
      <w:pPr>
        <w:tabs>
          <w:tab w:val="num" w:pos="2100"/>
        </w:tabs>
        <w:ind w:left="2100" w:hanging="360"/>
      </w:pPr>
      <w:rPr>
        <w:rFonts w:ascii="Courier New" w:hAnsi="Courier New" w:cs="Courier New" w:hint="default"/>
      </w:rPr>
    </w:lvl>
    <w:lvl w:ilvl="2" w:tplc="041F0005" w:tentative="1">
      <w:start w:val="1"/>
      <w:numFmt w:val="bullet"/>
      <w:lvlText w:val=""/>
      <w:lvlJc w:val="left"/>
      <w:pPr>
        <w:tabs>
          <w:tab w:val="num" w:pos="2820"/>
        </w:tabs>
        <w:ind w:left="2820" w:hanging="360"/>
      </w:pPr>
      <w:rPr>
        <w:rFonts w:ascii="Wingdings" w:hAnsi="Wingdings" w:hint="default"/>
      </w:rPr>
    </w:lvl>
    <w:lvl w:ilvl="3" w:tplc="041F0001" w:tentative="1">
      <w:start w:val="1"/>
      <w:numFmt w:val="bullet"/>
      <w:lvlText w:val=""/>
      <w:lvlJc w:val="left"/>
      <w:pPr>
        <w:tabs>
          <w:tab w:val="num" w:pos="3540"/>
        </w:tabs>
        <w:ind w:left="3540" w:hanging="360"/>
      </w:pPr>
      <w:rPr>
        <w:rFonts w:ascii="Symbol" w:hAnsi="Symbol" w:hint="default"/>
      </w:rPr>
    </w:lvl>
    <w:lvl w:ilvl="4" w:tplc="041F0003" w:tentative="1">
      <w:start w:val="1"/>
      <w:numFmt w:val="bullet"/>
      <w:lvlText w:val="o"/>
      <w:lvlJc w:val="left"/>
      <w:pPr>
        <w:tabs>
          <w:tab w:val="num" w:pos="4260"/>
        </w:tabs>
        <w:ind w:left="4260" w:hanging="360"/>
      </w:pPr>
      <w:rPr>
        <w:rFonts w:ascii="Courier New" w:hAnsi="Courier New" w:cs="Courier New" w:hint="default"/>
      </w:rPr>
    </w:lvl>
    <w:lvl w:ilvl="5" w:tplc="041F0005" w:tentative="1">
      <w:start w:val="1"/>
      <w:numFmt w:val="bullet"/>
      <w:lvlText w:val=""/>
      <w:lvlJc w:val="left"/>
      <w:pPr>
        <w:tabs>
          <w:tab w:val="num" w:pos="4980"/>
        </w:tabs>
        <w:ind w:left="4980" w:hanging="360"/>
      </w:pPr>
      <w:rPr>
        <w:rFonts w:ascii="Wingdings" w:hAnsi="Wingdings" w:hint="default"/>
      </w:rPr>
    </w:lvl>
    <w:lvl w:ilvl="6" w:tplc="041F0001" w:tentative="1">
      <w:start w:val="1"/>
      <w:numFmt w:val="bullet"/>
      <w:lvlText w:val=""/>
      <w:lvlJc w:val="left"/>
      <w:pPr>
        <w:tabs>
          <w:tab w:val="num" w:pos="5700"/>
        </w:tabs>
        <w:ind w:left="5700" w:hanging="360"/>
      </w:pPr>
      <w:rPr>
        <w:rFonts w:ascii="Symbol" w:hAnsi="Symbol" w:hint="default"/>
      </w:rPr>
    </w:lvl>
    <w:lvl w:ilvl="7" w:tplc="041F0003" w:tentative="1">
      <w:start w:val="1"/>
      <w:numFmt w:val="bullet"/>
      <w:lvlText w:val="o"/>
      <w:lvlJc w:val="left"/>
      <w:pPr>
        <w:tabs>
          <w:tab w:val="num" w:pos="6420"/>
        </w:tabs>
        <w:ind w:left="6420" w:hanging="360"/>
      </w:pPr>
      <w:rPr>
        <w:rFonts w:ascii="Courier New" w:hAnsi="Courier New" w:cs="Courier New" w:hint="default"/>
      </w:rPr>
    </w:lvl>
    <w:lvl w:ilvl="8" w:tplc="041F0005" w:tentative="1">
      <w:start w:val="1"/>
      <w:numFmt w:val="bullet"/>
      <w:lvlText w:val=""/>
      <w:lvlJc w:val="left"/>
      <w:pPr>
        <w:tabs>
          <w:tab w:val="num" w:pos="7140"/>
        </w:tabs>
        <w:ind w:left="7140" w:hanging="360"/>
      </w:pPr>
      <w:rPr>
        <w:rFonts w:ascii="Wingdings" w:hAnsi="Wingdings" w:hint="default"/>
      </w:rPr>
    </w:lvl>
  </w:abstractNum>
  <w:abstractNum w:abstractNumId="21">
    <w:nsid w:val="6CAB2571"/>
    <w:multiLevelType w:val="hybridMultilevel"/>
    <w:tmpl w:val="3334BDC6"/>
    <w:lvl w:ilvl="0" w:tplc="041F0017">
      <w:start w:val="1"/>
      <w:numFmt w:val="lowerLetter"/>
      <w:lvlText w:val="%1)"/>
      <w:lvlJc w:val="left"/>
      <w:pPr>
        <w:ind w:left="1352"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72445928"/>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79F34250"/>
    <w:multiLevelType w:val="hybridMultilevel"/>
    <w:tmpl w:val="D42AE0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AF54E8B"/>
    <w:multiLevelType w:val="hybridMultilevel"/>
    <w:tmpl w:val="0038BD2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nsid w:val="7F2579AF"/>
    <w:multiLevelType w:val="hybridMultilevel"/>
    <w:tmpl w:val="255491CE"/>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3"/>
  </w:num>
  <w:num w:numId="2">
    <w:abstractNumId w:val="4"/>
  </w:num>
  <w:num w:numId="3">
    <w:abstractNumId w:val="2"/>
  </w:num>
  <w:num w:numId="4">
    <w:abstractNumId w:val="10"/>
  </w:num>
  <w:num w:numId="5">
    <w:abstractNumId w:val="19"/>
  </w:num>
  <w:num w:numId="6">
    <w:abstractNumId w:val="17"/>
  </w:num>
  <w:num w:numId="7">
    <w:abstractNumId w:val="5"/>
  </w:num>
  <w:num w:numId="8">
    <w:abstractNumId w:val="26"/>
  </w:num>
  <w:num w:numId="9">
    <w:abstractNumId w:val="8"/>
  </w:num>
  <w:num w:numId="10">
    <w:abstractNumId w:val="21"/>
  </w:num>
  <w:num w:numId="11">
    <w:abstractNumId w:val="1"/>
  </w:num>
  <w:num w:numId="12">
    <w:abstractNumId w:val="23"/>
  </w:num>
  <w:num w:numId="13">
    <w:abstractNumId w:val="22"/>
  </w:num>
  <w:num w:numId="14">
    <w:abstractNumId w:val="20"/>
  </w:num>
  <w:num w:numId="15">
    <w:abstractNumId w:val="11"/>
  </w:num>
  <w:num w:numId="16">
    <w:abstractNumId w:val="16"/>
  </w:num>
  <w:num w:numId="17">
    <w:abstractNumId w:val="14"/>
  </w:num>
  <w:num w:numId="18">
    <w:abstractNumId w:val="7"/>
  </w:num>
  <w:num w:numId="19">
    <w:abstractNumId w:val="24"/>
  </w:num>
  <w:num w:numId="20">
    <w:abstractNumId w:val="9"/>
  </w:num>
  <w:num w:numId="21">
    <w:abstractNumId w:val="15"/>
  </w:num>
  <w:num w:numId="22">
    <w:abstractNumId w:val="6"/>
  </w:num>
  <w:num w:numId="23">
    <w:abstractNumId w:val="0"/>
  </w:num>
  <w:num w:numId="24">
    <w:abstractNumId w:val="18"/>
  </w:num>
  <w:num w:numId="25">
    <w:abstractNumId w:val="25"/>
  </w:num>
  <w:num w:numId="26">
    <w:abstractNumId w:val="1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8A"/>
    <w:rsid w:val="00013679"/>
    <w:rsid w:val="00021E9C"/>
    <w:rsid w:val="00025DB0"/>
    <w:rsid w:val="00042EDF"/>
    <w:rsid w:val="0006139E"/>
    <w:rsid w:val="00064247"/>
    <w:rsid w:val="00071F08"/>
    <w:rsid w:val="000B2EA6"/>
    <w:rsid w:val="000B2F0B"/>
    <w:rsid w:val="000B5F6E"/>
    <w:rsid w:val="000E098E"/>
    <w:rsid w:val="00111E85"/>
    <w:rsid w:val="001229F6"/>
    <w:rsid w:val="00140821"/>
    <w:rsid w:val="001434DC"/>
    <w:rsid w:val="00177AF9"/>
    <w:rsid w:val="001A57CA"/>
    <w:rsid w:val="001C45B1"/>
    <w:rsid w:val="001C7418"/>
    <w:rsid w:val="001D2B14"/>
    <w:rsid w:val="001D759E"/>
    <w:rsid w:val="0020712D"/>
    <w:rsid w:val="0021750C"/>
    <w:rsid w:val="002212ED"/>
    <w:rsid w:val="0022378D"/>
    <w:rsid w:val="002354D0"/>
    <w:rsid w:val="00244988"/>
    <w:rsid w:val="00287583"/>
    <w:rsid w:val="00287D6A"/>
    <w:rsid w:val="002B47D8"/>
    <w:rsid w:val="002D2C33"/>
    <w:rsid w:val="002E447B"/>
    <w:rsid w:val="002E4DAB"/>
    <w:rsid w:val="00312EE8"/>
    <w:rsid w:val="00320798"/>
    <w:rsid w:val="00331CC1"/>
    <w:rsid w:val="00371B35"/>
    <w:rsid w:val="0037288B"/>
    <w:rsid w:val="003A7A90"/>
    <w:rsid w:val="003D269B"/>
    <w:rsid w:val="003D7EB4"/>
    <w:rsid w:val="003E79AB"/>
    <w:rsid w:val="00401FF5"/>
    <w:rsid w:val="004033C8"/>
    <w:rsid w:val="00436FB0"/>
    <w:rsid w:val="00447E59"/>
    <w:rsid w:val="0046765B"/>
    <w:rsid w:val="00471B02"/>
    <w:rsid w:val="00473A6A"/>
    <w:rsid w:val="00491618"/>
    <w:rsid w:val="0049234B"/>
    <w:rsid w:val="00494408"/>
    <w:rsid w:val="004E7154"/>
    <w:rsid w:val="00503FC9"/>
    <w:rsid w:val="00521314"/>
    <w:rsid w:val="0052249D"/>
    <w:rsid w:val="0052726D"/>
    <w:rsid w:val="00530735"/>
    <w:rsid w:val="00535BD6"/>
    <w:rsid w:val="0054018E"/>
    <w:rsid w:val="00580D28"/>
    <w:rsid w:val="00583832"/>
    <w:rsid w:val="00594EE5"/>
    <w:rsid w:val="005A0636"/>
    <w:rsid w:val="005B751F"/>
    <w:rsid w:val="005C0344"/>
    <w:rsid w:val="005C1721"/>
    <w:rsid w:val="00604881"/>
    <w:rsid w:val="00623793"/>
    <w:rsid w:val="00626B0C"/>
    <w:rsid w:val="006537EA"/>
    <w:rsid w:val="006631E7"/>
    <w:rsid w:val="0067760A"/>
    <w:rsid w:val="006A40CC"/>
    <w:rsid w:val="006C6BF1"/>
    <w:rsid w:val="006E6CCC"/>
    <w:rsid w:val="00707E3E"/>
    <w:rsid w:val="007327EB"/>
    <w:rsid w:val="00781705"/>
    <w:rsid w:val="007A3B2F"/>
    <w:rsid w:val="007B1F98"/>
    <w:rsid w:val="007D58FE"/>
    <w:rsid w:val="007E2AD9"/>
    <w:rsid w:val="007E3B94"/>
    <w:rsid w:val="007F7DD0"/>
    <w:rsid w:val="00811F28"/>
    <w:rsid w:val="008355E9"/>
    <w:rsid w:val="00847A78"/>
    <w:rsid w:val="008568D8"/>
    <w:rsid w:val="00881283"/>
    <w:rsid w:val="008829AC"/>
    <w:rsid w:val="008B080F"/>
    <w:rsid w:val="008B2283"/>
    <w:rsid w:val="008B5A8E"/>
    <w:rsid w:val="008C6EB5"/>
    <w:rsid w:val="008D6338"/>
    <w:rsid w:val="00944C16"/>
    <w:rsid w:val="00961F5B"/>
    <w:rsid w:val="00964CD8"/>
    <w:rsid w:val="009713E2"/>
    <w:rsid w:val="00980745"/>
    <w:rsid w:val="009A2447"/>
    <w:rsid w:val="009A46FD"/>
    <w:rsid w:val="009B034A"/>
    <w:rsid w:val="009B3946"/>
    <w:rsid w:val="009B5583"/>
    <w:rsid w:val="009B55BC"/>
    <w:rsid w:val="009D31DB"/>
    <w:rsid w:val="009E2CDA"/>
    <w:rsid w:val="009E45AF"/>
    <w:rsid w:val="009E7490"/>
    <w:rsid w:val="00A15E8F"/>
    <w:rsid w:val="00A23EEA"/>
    <w:rsid w:val="00A47809"/>
    <w:rsid w:val="00A47F94"/>
    <w:rsid w:val="00A615DD"/>
    <w:rsid w:val="00A651F3"/>
    <w:rsid w:val="00A85B15"/>
    <w:rsid w:val="00AA35D7"/>
    <w:rsid w:val="00AB1E2E"/>
    <w:rsid w:val="00AB4B8A"/>
    <w:rsid w:val="00AC4CC1"/>
    <w:rsid w:val="00AD26B7"/>
    <w:rsid w:val="00AF4F43"/>
    <w:rsid w:val="00B114A0"/>
    <w:rsid w:val="00B13503"/>
    <w:rsid w:val="00B2028D"/>
    <w:rsid w:val="00B55DE0"/>
    <w:rsid w:val="00B8396B"/>
    <w:rsid w:val="00B84AAA"/>
    <w:rsid w:val="00B8786C"/>
    <w:rsid w:val="00BB2115"/>
    <w:rsid w:val="00C104E6"/>
    <w:rsid w:val="00C167E1"/>
    <w:rsid w:val="00C21B30"/>
    <w:rsid w:val="00C271D8"/>
    <w:rsid w:val="00C27841"/>
    <w:rsid w:val="00C52923"/>
    <w:rsid w:val="00C57E48"/>
    <w:rsid w:val="00C82697"/>
    <w:rsid w:val="00CA1FFA"/>
    <w:rsid w:val="00CA3E72"/>
    <w:rsid w:val="00CA5230"/>
    <w:rsid w:val="00CA67B1"/>
    <w:rsid w:val="00CD740B"/>
    <w:rsid w:val="00D0665E"/>
    <w:rsid w:val="00D30E52"/>
    <w:rsid w:val="00D3134D"/>
    <w:rsid w:val="00D50337"/>
    <w:rsid w:val="00D56948"/>
    <w:rsid w:val="00D658CE"/>
    <w:rsid w:val="00D735E9"/>
    <w:rsid w:val="00D77AC8"/>
    <w:rsid w:val="00D81F81"/>
    <w:rsid w:val="00D92EA3"/>
    <w:rsid w:val="00DA534D"/>
    <w:rsid w:val="00DE0C1C"/>
    <w:rsid w:val="00DE113F"/>
    <w:rsid w:val="00DF7C0A"/>
    <w:rsid w:val="00E048CB"/>
    <w:rsid w:val="00E16430"/>
    <w:rsid w:val="00E1652B"/>
    <w:rsid w:val="00E377C4"/>
    <w:rsid w:val="00E75C16"/>
    <w:rsid w:val="00E75D96"/>
    <w:rsid w:val="00E80E31"/>
    <w:rsid w:val="00E84607"/>
    <w:rsid w:val="00EC5511"/>
    <w:rsid w:val="00EC6C8C"/>
    <w:rsid w:val="00ED64A5"/>
    <w:rsid w:val="00EF32C6"/>
    <w:rsid w:val="00F5113A"/>
    <w:rsid w:val="00F7104C"/>
    <w:rsid w:val="00F81DD9"/>
    <w:rsid w:val="00F87900"/>
    <w:rsid w:val="00FA6A6F"/>
    <w:rsid w:val="00FB03C9"/>
    <w:rsid w:val="00FD4AB1"/>
    <w:rsid w:val="00FF0A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8A"/>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B4B8A"/>
    <w:pPr>
      <w:keepNext/>
      <w:jc w:val="both"/>
      <w:outlineLvl w:val="1"/>
    </w:pPr>
    <w:rPr>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B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AB4B8A"/>
    <w:pPr>
      <w:spacing w:after="120" w:line="480" w:lineRule="auto"/>
    </w:pPr>
  </w:style>
  <w:style w:type="character" w:customStyle="1" w:styleId="GvdeMetni2Char">
    <w:name w:val="Gövde Metni 2 Char"/>
    <w:basedOn w:val="VarsaylanParagrafYazTipi"/>
    <w:link w:val="GvdeMetni2"/>
    <w:uiPriority w:val="99"/>
    <w:rsid w:val="00AB4B8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B4B8A"/>
    <w:pPr>
      <w:ind w:left="720"/>
      <w:contextualSpacing/>
    </w:pPr>
  </w:style>
  <w:style w:type="character" w:customStyle="1" w:styleId="Balk2Char">
    <w:name w:val="Başlık 2 Char"/>
    <w:basedOn w:val="VarsaylanParagrafYazTipi"/>
    <w:link w:val="Balk2"/>
    <w:rsid w:val="00AB4B8A"/>
    <w:rPr>
      <w:rFonts w:ascii="Times New Roman" w:eastAsia="Times New Roman" w:hAnsi="Times New Roman" w:cs="Times New Roman"/>
      <w:b/>
      <w:bCs/>
      <w:sz w:val="24"/>
      <w:szCs w:val="24"/>
      <w:u w:val="single"/>
      <w:lang w:eastAsia="tr-TR"/>
    </w:rPr>
  </w:style>
  <w:style w:type="paragraph" w:customStyle="1" w:styleId="Default">
    <w:name w:val="Default"/>
    <w:rsid w:val="00AB4B8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NormalWeb">
    <w:name w:val="Normal (Web)"/>
    <w:basedOn w:val="Normal"/>
    <w:rsid w:val="00AB4B8A"/>
    <w:pPr>
      <w:spacing w:before="100" w:beforeAutospacing="1" w:after="100" w:afterAutospacing="1"/>
    </w:pPr>
    <w:rPr>
      <w:rFonts w:ascii="Arial Unicode MS" w:hAnsi="Arial Unicode MS" w:cs="Arial Unicode MS"/>
      <w:lang w:val="en-US" w:eastAsia="en-US"/>
    </w:rPr>
  </w:style>
  <w:style w:type="paragraph" w:styleId="stbilgi">
    <w:name w:val="header"/>
    <w:basedOn w:val="Normal"/>
    <w:link w:val="stbilgiChar"/>
    <w:uiPriority w:val="99"/>
    <w:unhideWhenUsed/>
    <w:rsid w:val="00371B35"/>
    <w:pPr>
      <w:tabs>
        <w:tab w:val="center" w:pos="4536"/>
        <w:tab w:val="right" w:pos="9072"/>
      </w:tabs>
    </w:pPr>
  </w:style>
  <w:style w:type="character" w:customStyle="1" w:styleId="stbilgiChar">
    <w:name w:val="Üstbilgi Char"/>
    <w:basedOn w:val="VarsaylanParagrafYazTipi"/>
    <w:link w:val="stbilgi"/>
    <w:uiPriority w:val="99"/>
    <w:rsid w:val="00371B3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71B35"/>
    <w:pPr>
      <w:tabs>
        <w:tab w:val="center" w:pos="4536"/>
        <w:tab w:val="right" w:pos="9072"/>
      </w:tabs>
    </w:pPr>
  </w:style>
  <w:style w:type="character" w:customStyle="1" w:styleId="AltbilgiChar">
    <w:name w:val="Altbilgi Char"/>
    <w:basedOn w:val="VarsaylanParagrafYazTipi"/>
    <w:link w:val="Altbilgi"/>
    <w:uiPriority w:val="99"/>
    <w:rsid w:val="00371B35"/>
    <w:rPr>
      <w:rFonts w:ascii="Times New Roman" w:eastAsia="Times New Roman" w:hAnsi="Times New Roman" w:cs="Times New Roman"/>
      <w:sz w:val="24"/>
      <w:szCs w:val="24"/>
      <w:lang w:eastAsia="tr-TR"/>
    </w:rPr>
  </w:style>
  <w:style w:type="paragraph" w:customStyle="1" w:styleId="CharChar1">
    <w:name w:val="Char Char1"/>
    <w:basedOn w:val="Normal"/>
    <w:rsid w:val="00C104E6"/>
    <w:pPr>
      <w:spacing w:after="160" w:line="240" w:lineRule="exact"/>
    </w:pPr>
    <w:rPr>
      <w:rFonts w:ascii="Verdana" w:eastAsia="SimSun" w:hAnsi="Verdana"/>
      <w:sz w:val="20"/>
      <w:szCs w:val="20"/>
      <w:lang w:val="en-US" w:eastAsia="en-US"/>
    </w:rPr>
  </w:style>
  <w:style w:type="paragraph" w:customStyle="1" w:styleId="CharChar10">
    <w:name w:val="Char Char1"/>
    <w:basedOn w:val="Normal"/>
    <w:rsid w:val="00064247"/>
    <w:pPr>
      <w:spacing w:after="160" w:line="240" w:lineRule="exact"/>
    </w:pPr>
    <w:rPr>
      <w:rFonts w:ascii="Verdana" w:eastAsia="SimSun" w:hAnsi="Verdana"/>
      <w:sz w:val="20"/>
      <w:szCs w:val="20"/>
      <w:lang w:val="en-US" w:eastAsia="en-US"/>
    </w:rPr>
  </w:style>
  <w:style w:type="paragraph" w:styleId="BalonMetni">
    <w:name w:val="Balloon Text"/>
    <w:basedOn w:val="Normal"/>
    <w:link w:val="BalonMetniChar"/>
    <w:uiPriority w:val="99"/>
    <w:semiHidden/>
    <w:unhideWhenUsed/>
    <w:rsid w:val="00401FF5"/>
    <w:rPr>
      <w:rFonts w:ascii="Tahoma" w:hAnsi="Tahoma" w:cs="Tahoma"/>
      <w:sz w:val="16"/>
      <w:szCs w:val="16"/>
    </w:rPr>
  </w:style>
  <w:style w:type="character" w:customStyle="1" w:styleId="BalonMetniChar">
    <w:name w:val="Balon Metni Char"/>
    <w:basedOn w:val="VarsaylanParagrafYazTipi"/>
    <w:link w:val="BalonMetni"/>
    <w:uiPriority w:val="99"/>
    <w:semiHidden/>
    <w:rsid w:val="00401FF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8A"/>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B4B8A"/>
    <w:pPr>
      <w:keepNext/>
      <w:jc w:val="both"/>
      <w:outlineLvl w:val="1"/>
    </w:pPr>
    <w:rPr>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B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AB4B8A"/>
    <w:pPr>
      <w:spacing w:after="120" w:line="480" w:lineRule="auto"/>
    </w:pPr>
  </w:style>
  <w:style w:type="character" w:customStyle="1" w:styleId="GvdeMetni2Char">
    <w:name w:val="Gövde Metni 2 Char"/>
    <w:basedOn w:val="VarsaylanParagrafYazTipi"/>
    <w:link w:val="GvdeMetni2"/>
    <w:uiPriority w:val="99"/>
    <w:rsid w:val="00AB4B8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B4B8A"/>
    <w:pPr>
      <w:ind w:left="720"/>
      <w:contextualSpacing/>
    </w:pPr>
  </w:style>
  <w:style w:type="character" w:customStyle="1" w:styleId="Balk2Char">
    <w:name w:val="Başlık 2 Char"/>
    <w:basedOn w:val="VarsaylanParagrafYazTipi"/>
    <w:link w:val="Balk2"/>
    <w:rsid w:val="00AB4B8A"/>
    <w:rPr>
      <w:rFonts w:ascii="Times New Roman" w:eastAsia="Times New Roman" w:hAnsi="Times New Roman" w:cs="Times New Roman"/>
      <w:b/>
      <w:bCs/>
      <w:sz w:val="24"/>
      <w:szCs w:val="24"/>
      <w:u w:val="single"/>
      <w:lang w:eastAsia="tr-TR"/>
    </w:rPr>
  </w:style>
  <w:style w:type="paragraph" w:customStyle="1" w:styleId="Default">
    <w:name w:val="Default"/>
    <w:rsid w:val="00AB4B8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NormalWeb">
    <w:name w:val="Normal (Web)"/>
    <w:basedOn w:val="Normal"/>
    <w:rsid w:val="00AB4B8A"/>
    <w:pPr>
      <w:spacing w:before="100" w:beforeAutospacing="1" w:after="100" w:afterAutospacing="1"/>
    </w:pPr>
    <w:rPr>
      <w:rFonts w:ascii="Arial Unicode MS" w:hAnsi="Arial Unicode MS" w:cs="Arial Unicode MS"/>
      <w:lang w:val="en-US" w:eastAsia="en-US"/>
    </w:rPr>
  </w:style>
  <w:style w:type="paragraph" w:styleId="stbilgi">
    <w:name w:val="header"/>
    <w:basedOn w:val="Normal"/>
    <w:link w:val="stbilgiChar"/>
    <w:uiPriority w:val="99"/>
    <w:unhideWhenUsed/>
    <w:rsid w:val="00371B35"/>
    <w:pPr>
      <w:tabs>
        <w:tab w:val="center" w:pos="4536"/>
        <w:tab w:val="right" w:pos="9072"/>
      </w:tabs>
    </w:pPr>
  </w:style>
  <w:style w:type="character" w:customStyle="1" w:styleId="stbilgiChar">
    <w:name w:val="Üstbilgi Char"/>
    <w:basedOn w:val="VarsaylanParagrafYazTipi"/>
    <w:link w:val="stbilgi"/>
    <w:uiPriority w:val="99"/>
    <w:rsid w:val="00371B3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71B35"/>
    <w:pPr>
      <w:tabs>
        <w:tab w:val="center" w:pos="4536"/>
        <w:tab w:val="right" w:pos="9072"/>
      </w:tabs>
    </w:pPr>
  </w:style>
  <w:style w:type="character" w:customStyle="1" w:styleId="AltbilgiChar">
    <w:name w:val="Altbilgi Char"/>
    <w:basedOn w:val="VarsaylanParagrafYazTipi"/>
    <w:link w:val="Altbilgi"/>
    <w:uiPriority w:val="99"/>
    <w:rsid w:val="00371B35"/>
    <w:rPr>
      <w:rFonts w:ascii="Times New Roman" w:eastAsia="Times New Roman" w:hAnsi="Times New Roman" w:cs="Times New Roman"/>
      <w:sz w:val="24"/>
      <w:szCs w:val="24"/>
      <w:lang w:eastAsia="tr-TR"/>
    </w:rPr>
  </w:style>
  <w:style w:type="paragraph" w:customStyle="1" w:styleId="CharChar1">
    <w:name w:val="Char Char1"/>
    <w:basedOn w:val="Normal"/>
    <w:rsid w:val="00C104E6"/>
    <w:pPr>
      <w:spacing w:after="160" w:line="240" w:lineRule="exact"/>
    </w:pPr>
    <w:rPr>
      <w:rFonts w:ascii="Verdana" w:eastAsia="SimSun" w:hAnsi="Verdana"/>
      <w:sz w:val="20"/>
      <w:szCs w:val="20"/>
      <w:lang w:val="en-US" w:eastAsia="en-US"/>
    </w:rPr>
  </w:style>
  <w:style w:type="paragraph" w:customStyle="1" w:styleId="CharChar10">
    <w:name w:val="Char Char1"/>
    <w:basedOn w:val="Normal"/>
    <w:rsid w:val="00064247"/>
    <w:pPr>
      <w:spacing w:after="160" w:line="240" w:lineRule="exact"/>
    </w:pPr>
    <w:rPr>
      <w:rFonts w:ascii="Verdana" w:eastAsia="SimSun" w:hAnsi="Verdana"/>
      <w:sz w:val="20"/>
      <w:szCs w:val="20"/>
      <w:lang w:val="en-US" w:eastAsia="en-US"/>
    </w:rPr>
  </w:style>
  <w:style w:type="paragraph" w:styleId="BalonMetni">
    <w:name w:val="Balloon Text"/>
    <w:basedOn w:val="Normal"/>
    <w:link w:val="BalonMetniChar"/>
    <w:uiPriority w:val="99"/>
    <w:semiHidden/>
    <w:unhideWhenUsed/>
    <w:rsid w:val="00401FF5"/>
    <w:rPr>
      <w:rFonts w:ascii="Tahoma" w:hAnsi="Tahoma" w:cs="Tahoma"/>
      <w:sz w:val="16"/>
      <w:szCs w:val="16"/>
    </w:rPr>
  </w:style>
  <w:style w:type="character" w:customStyle="1" w:styleId="BalonMetniChar">
    <w:name w:val="Balon Metni Char"/>
    <w:basedOn w:val="VarsaylanParagrafYazTipi"/>
    <w:link w:val="BalonMetni"/>
    <w:uiPriority w:val="99"/>
    <w:semiHidden/>
    <w:rsid w:val="00401FF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4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1640</Words>
  <Characters>9350</Characters>
  <Application>Microsoft Office Word</Application>
  <DocSecurity>4</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İnaneri</dc:creator>
  <cp:lastModifiedBy>Gülden Şensöz</cp:lastModifiedBy>
  <cp:revision>2</cp:revision>
  <cp:lastPrinted>2017-06-21T11:56:00Z</cp:lastPrinted>
  <dcterms:created xsi:type="dcterms:W3CDTF">2017-06-23T13:25:00Z</dcterms:created>
  <dcterms:modified xsi:type="dcterms:W3CDTF">2017-06-23T13:25:00Z</dcterms:modified>
</cp:coreProperties>
</file>